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F4FB" w14:textId="5AEBFF32" w:rsidR="00241852" w:rsidRPr="00E1598E" w:rsidRDefault="00D129EA" w:rsidP="00C43E1E">
      <w:pPr>
        <w:jc w:val="center"/>
        <w:rPr>
          <w:b/>
        </w:rPr>
      </w:pPr>
      <w:r w:rsidRPr="00E1598E">
        <w:rPr>
          <w:b/>
        </w:rPr>
        <w:t xml:space="preserve">BEŞİNCİ </w:t>
      </w:r>
      <w:r w:rsidR="00933028" w:rsidRPr="00E1598E">
        <w:rPr>
          <w:b/>
        </w:rPr>
        <w:t xml:space="preserve">TARİFE </w:t>
      </w:r>
      <w:r w:rsidR="00241852" w:rsidRPr="00E1598E">
        <w:rPr>
          <w:b/>
        </w:rPr>
        <w:t>UYGULAMA DÖNEMİNE İLİŞKİN YÖNTEM BİLDİRİMİ</w:t>
      </w:r>
    </w:p>
    <w:p w14:paraId="73F72642" w14:textId="77777777" w:rsidR="00241852" w:rsidRPr="00E1598E" w:rsidRDefault="00241852" w:rsidP="00241852">
      <w:pPr>
        <w:jc w:val="both"/>
        <w:rPr>
          <w:b/>
        </w:rPr>
      </w:pPr>
    </w:p>
    <w:p w14:paraId="6B83B373" w14:textId="77777777" w:rsidR="00241852" w:rsidRPr="00E1598E" w:rsidRDefault="00AA2E5C" w:rsidP="00241852">
      <w:pPr>
        <w:jc w:val="both"/>
        <w:rPr>
          <w:b/>
        </w:rPr>
      </w:pPr>
      <w:r w:rsidRPr="00E1598E">
        <w:rPr>
          <w:b/>
        </w:rPr>
        <w:t>1. GİRİŞ</w:t>
      </w:r>
    </w:p>
    <w:p w14:paraId="36883E2F" w14:textId="77777777" w:rsidR="00241852" w:rsidRPr="00E1598E" w:rsidRDefault="00241852" w:rsidP="00241852">
      <w:pPr>
        <w:ind w:firstLine="720"/>
        <w:jc w:val="both"/>
      </w:pPr>
    </w:p>
    <w:p w14:paraId="23C67136" w14:textId="77777777" w:rsidR="00241852" w:rsidRPr="00E1598E" w:rsidRDefault="00D129EA" w:rsidP="00933028">
      <w:pPr>
        <w:jc w:val="both"/>
      </w:pPr>
      <w:r w:rsidRPr="00E1598E">
        <w:t>Beşinci</w:t>
      </w:r>
      <w:r w:rsidR="00933028" w:rsidRPr="00E1598E">
        <w:t xml:space="preserve"> Tarife Uygulama Dönemine İlişkin Yöntem Bildirimi (Yöntem Bildirimi)</w:t>
      </w:r>
      <w:r w:rsidR="00241852" w:rsidRPr="00E1598E">
        <w:t xml:space="preserve"> doğal gaz piyasası mevzuatı esas alınarak hazırlanmıştır. Bu dokümanda, Boru Hatları İle Petrol Taşıma Anonim Şirketi’nin (BOTAŞ) iletim ve sevkiyat kontrol tarifelerinin belirlenmesinde ve uygulanmasında izlenen yöntem açıklanmaktadır. </w:t>
      </w:r>
    </w:p>
    <w:p w14:paraId="0EF1D9D2" w14:textId="77777777" w:rsidR="00241852" w:rsidRPr="00E1598E" w:rsidRDefault="00241852" w:rsidP="00241852">
      <w:pPr>
        <w:ind w:firstLine="720"/>
        <w:jc w:val="both"/>
      </w:pPr>
    </w:p>
    <w:p w14:paraId="6F3DFF6A" w14:textId="77777777" w:rsidR="00241852" w:rsidRPr="00E1598E" w:rsidRDefault="00241852" w:rsidP="00241852">
      <w:pPr>
        <w:jc w:val="both"/>
      </w:pPr>
      <w:r w:rsidRPr="00E1598E">
        <w:t xml:space="preserve">Bu Yöntem Bildirimi, 03/10/2013 tarihli ve 4638-1 sayılı Kurul Kararı eki </w:t>
      </w:r>
      <w:r w:rsidRPr="00E1598E">
        <w:rPr>
          <w:i/>
        </w:rPr>
        <w:t xml:space="preserve">“Doğal Gaz İletim Lisansı Sahibi Şirketlerin Tarifelerine Esas Gelir Tavanlarının Belirlenmesine İlişkin Usul Ve Esaslar” </w:t>
      </w:r>
      <w:r w:rsidRPr="00E1598E">
        <w:t>(Metodoloji) kapsamında belirlenen 01/01/202</w:t>
      </w:r>
      <w:r w:rsidR="002D4337" w:rsidRPr="00E1598E">
        <w:t>3</w:t>
      </w:r>
      <w:r w:rsidRPr="00E1598E">
        <w:t xml:space="preserve"> tarihinde başlayan </w:t>
      </w:r>
      <w:r w:rsidR="002D4337" w:rsidRPr="00E1598E">
        <w:t>dördüncü</w:t>
      </w:r>
      <w:r w:rsidRPr="00E1598E">
        <w:t xml:space="preserve"> uygulama dönemi boyunca geçerlidir. Ancak, ilgili Yöntem Bildiriminin sunulması aşamasında öngörülmeyen durumların ortaya çıkması veya piyasadaki gelişmelerin Yöntem Bildiriminde değişiklik yapılmasını gerekli kılması durumunda Kurul tarafından re’sen veya BOTAŞ’ın talebi üzerine Kurul onayı ile değişiklik yapılması mümkündür.</w:t>
      </w:r>
    </w:p>
    <w:p w14:paraId="387C7334" w14:textId="77777777" w:rsidR="00241852" w:rsidRPr="00E1598E" w:rsidRDefault="00241852" w:rsidP="00241852">
      <w:pPr>
        <w:ind w:firstLine="720"/>
        <w:jc w:val="both"/>
      </w:pPr>
    </w:p>
    <w:p w14:paraId="195C68BC" w14:textId="77777777" w:rsidR="00EC4EE7" w:rsidRPr="00E1598E" w:rsidRDefault="00EC4EE7" w:rsidP="00EC4EE7">
      <w:pPr>
        <w:jc w:val="both"/>
      </w:pPr>
      <w:r w:rsidRPr="00E1598E">
        <w:t xml:space="preserve">İletim tarifelerinde giriş-çıkış sistemi esas alınmakta olup tarifeler kapasite ve hizmet bedellerinden oluşur. Kapasite bedelleri; 16 giriş noktası, 1 çıkış noktası için belirlenerek ilgili noktalar için rezerve edilen kapasiteye uygulanır. Ancak, giriş noktaları için rezerve edilen kapasiteler konsolide edilmek suretiyle tek bir giriş kapasite bedeli belirlenir ve ilgili noktalar için rezerve edilen kapasiteye uygulanır. Tüm giriş noktaları için tek bir giriş kapasite bedeli belirlendiği için dönem içerisinde yeni giriş noktaları oluşması durumunda herhangi bir revizyon yapılmasına gerek bulunmamaktadır. </w:t>
      </w:r>
    </w:p>
    <w:p w14:paraId="092ABBC8" w14:textId="77777777" w:rsidR="00241852" w:rsidRPr="00E1598E" w:rsidRDefault="00241852" w:rsidP="00241852">
      <w:pPr>
        <w:jc w:val="both"/>
      </w:pPr>
    </w:p>
    <w:p w14:paraId="4772A612" w14:textId="77777777" w:rsidR="00241852" w:rsidRPr="00E1598E" w:rsidRDefault="00241852" w:rsidP="00241852">
      <w:pPr>
        <w:jc w:val="both"/>
      </w:pPr>
      <w:r w:rsidRPr="00E1598E">
        <w:t>Sistemde taşınan gaz miktarına uygulanmak üzere ülke genelinde geçerli olan hizmet bedeli belirlenir.</w:t>
      </w:r>
    </w:p>
    <w:p w14:paraId="1459E625" w14:textId="77777777" w:rsidR="00241852" w:rsidRPr="00E1598E" w:rsidRDefault="00241852" w:rsidP="00241852">
      <w:pPr>
        <w:ind w:firstLine="720"/>
        <w:jc w:val="both"/>
      </w:pPr>
    </w:p>
    <w:p w14:paraId="57DED89B" w14:textId="77777777" w:rsidR="00241852" w:rsidRPr="00E1598E" w:rsidRDefault="00241852" w:rsidP="00241852">
      <w:pPr>
        <w:jc w:val="both"/>
      </w:pPr>
      <w:r w:rsidRPr="00E1598E">
        <w:t xml:space="preserve">Enerji Piyasası Düzenleme Kurulu (Kurul) tarafından tarife uygulama döneminin her bir yılı için onaylanan gelir tavanlarının %45’i kapasite bedelleri, %55’i ise hizmet bedeli ile karşılanır. </w:t>
      </w:r>
    </w:p>
    <w:p w14:paraId="1B2890DF" w14:textId="77777777" w:rsidR="00241852" w:rsidRPr="00E1598E" w:rsidRDefault="00241852" w:rsidP="00241852">
      <w:pPr>
        <w:ind w:firstLine="720"/>
        <w:jc w:val="both"/>
      </w:pPr>
    </w:p>
    <w:p w14:paraId="7E4A7753" w14:textId="77777777" w:rsidR="00241852" w:rsidRPr="00E1598E" w:rsidRDefault="00241852" w:rsidP="00241852">
      <w:pPr>
        <w:jc w:val="both"/>
      </w:pPr>
      <w:r w:rsidRPr="00E1598E">
        <w:t xml:space="preserve">Bu dokümanda sevkiyat kontrol bedelleri olarak, BOTAŞ İletim Şebekesi İşleyiş Düzenlemelerine İlişkin Esaslar (ŞİD) uyarınca dengesizlik, düzensizlik, hizmet kesintisi, kesinti dengeleme ve asgari basınç bedellerine yönelik hesaplama metodolojisine yer verilmiştir.  </w:t>
      </w:r>
    </w:p>
    <w:p w14:paraId="09D0B3D3" w14:textId="77777777" w:rsidR="00241852" w:rsidRPr="00E1598E" w:rsidRDefault="00241852" w:rsidP="00241852">
      <w:pPr>
        <w:ind w:firstLine="720"/>
        <w:jc w:val="both"/>
      </w:pPr>
    </w:p>
    <w:p w14:paraId="268F651E" w14:textId="77777777" w:rsidR="00241852" w:rsidRPr="00E1598E" w:rsidRDefault="00241852" w:rsidP="00241852">
      <w:pPr>
        <w:jc w:val="both"/>
      </w:pPr>
      <w:r w:rsidRPr="00E1598E">
        <w:t xml:space="preserve">Bu dokümanda geçen; </w:t>
      </w:r>
    </w:p>
    <w:p w14:paraId="662703F7" w14:textId="77777777" w:rsidR="00241852" w:rsidRPr="00E1598E" w:rsidRDefault="00241852" w:rsidP="00241852">
      <w:pPr>
        <w:ind w:firstLine="720"/>
        <w:jc w:val="both"/>
      </w:pPr>
    </w:p>
    <w:p w14:paraId="01D0134B" w14:textId="77777777" w:rsidR="00241852" w:rsidRPr="00E1598E" w:rsidRDefault="00241852" w:rsidP="00241852">
      <w:pPr>
        <w:numPr>
          <w:ilvl w:val="0"/>
          <w:numId w:val="45"/>
        </w:numPr>
        <w:ind w:left="1134" w:hanging="425"/>
        <w:contextualSpacing/>
        <w:jc w:val="both"/>
      </w:pPr>
      <w:r w:rsidRPr="00E1598E">
        <w:t xml:space="preserve">Kış Dönemi; 1 Kasım günü saat 08:00’da başlayıp 1 Nisan günü saat 08:00’da sona eren dönemi, </w:t>
      </w:r>
    </w:p>
    <w:p w14:paraId="2680E1B0" w14:textId="77777777" w:rsidR="00241852" w:rsidRPr="00E1598E" w:rsidRDefault="00241852" w:rsidP="00241852">
      <w:pPr>
        <w:numPr>
          <w:ilvl w:val="0"/>
          <w:numId w:val="45"/>
        </w:numPr>
        <w:ind w:left="1134" w:hanging="425"/>
        <w:contextualSpacing/>
        <w:jc w:val="both"/>
      </w:pPr>
      <w:r w:rsidRPr="00E1598E">
        <w:t xml:space="preserve">Ara Dönem; Nisan, Eylül ve Ekim aylarını içeren dönemi, </w:t>
      </w:r>
    </w:p>
    <w:p w14:paraId="395EF4AE" w14:textId="77777777" w:rsidR="00241852" w:rsidRPr="00E1598E" w:rsidRDefault="00241852" w:rsidP="00241852">
      <w:pPr>
        <w:numPr>
          <w:ilvl w:val="0"/>
          <w:numId w:val="45"/>
        </w:numPr>
        <w:ind w:left="1134" w:hanging="425"/>
        <w:contextualSpacing/>
        <w:jc w:val="both"/>
      </w:pPr>
      <w:r w:rsidRPr="00E1598E">
        <w:t xml:space="preserve">Yaz Dönemi; 1 Mayıs günü saat 08:00’da başlayıp 1 Eylül günü saat 08:00’da sona eren dönemi </w:t>
      </w:r>
    </w:p>
    <w:p w14:paraId="0ADD9C98" w14:textId="77777777" w:rsidR="00241852" w:rsidRPr="00E1598E" w:rsidRDefault="00241852" w:rsidP="00241852">
      <w:pPr>
        <w:ind w:left="1134"/>
        <w:contextualSpacing/>
        <w:jc w:val="both"/>
      </w:pPr>
    </w:p>
    <w:p w14:paraId="72CD1D7A" w14:textId="77777777" w:rsidR="00241852" w:rsidRPr="00E1598E" w:rsidRDefault="00241852" w:rsidP="00241852">
      <w:pPr>
        <w:jc w:val="both"/>
      </w:pPr>
      <w:r w:rsidRPr="00E1598E">
        <w:t>ifade eder.</w:t>
      </w:r>
    </w:p>
    <w:p w14:paraId="41F0BC3E" w14:textId="77777777" w:rsidR="00241852" w:rsidRPr="00E1598E" w:rsidRDefault="00241852" w:rsidP="00241852">
      <w:pPr>
        <w:ind w:left="709"/>
        <w:contextualSpacing/>
        <w:jc w:val="both"/>
      </w:pPr>
    </w:p>
    <w:p w14:paraId="4B727828" w14:textId="77777777" w:rsidR="00241852" w:rsidRPr="00E1598E" w:rsidRDefault="00241852" w:rsidP="00241852">
      <w:pPr>
        <w:jc w:val="both"/>
        <w:rPr>
          <w:b/>
        </w:rPr>
      </w:pPr>
      <w:r w:rsidRPr="00E1598E">
        <w:rPr>
          <w:b/>
        </w:rPr>
        <w:t xml:space="preserve">2. İLETİM TARİFELERİ </w:t>
      </w:r>
    </w:p>
    <w:p w14:paraId="01786403" w14:textId="77777777" w:rsidR="00241852" w:rsidRPr="00E1598E" w:rsidRDefault="00241852" w:rsidP="00241852">
      <w:pPr>
        <w:ind w:firstLine="720"/>
        <w:jc w:val="both"/>
      </w:pPr>
    </w:p>
    <w:p w14:paraId="02A17387" w14:textId="77777777" w:rsidR="00241852" w:rsidRPr="00E1598E" w:rsidRDefault="00241852" w:rsidP="00241852">
      <w:pPr>
        <w:jc w:val="both"/>
      </w:pPr>
      <w:r w:rsidRPr="00E1598E">
        <w:t>Kapasite ve hizmet bedellerinden oluşan iletim tarifeleri aşağıdaki şekilde hesaplanır.</w:t>
      </w:r>
    </w:p>
    <w:p w14:paraId="06D9AA82" w14:textId="77777777" w:rsidR="00241852" w:rsidRPr="00E1598E" w:rsidRDefault="00241852" w:rsidP="00241852">
      <w:pPr>
        <w:ind w:firstLine="720"/>
        <w:jc w:val="both"/>
      </w:pPr>
    </w:p>
    <w:p w14:paraId="676EFF7F" w14:textId="77777777" w:rsidR="00241852" w:rsidRPr="00E1598E" w:rsidRDefault="00241852" w:rsidP="00241852">
      <w:pPr>
        <w:jc w:val="both"/>
        <w:rPr>
          <w:b/>
        </w:rPr>
      </w:pPr>
      <w:r w:rsidRPr="00E1598E">
        <w:rPr>
          <w:b/>
        </w:rPr>
        <w:t>2.1. Kapasite Bedellerine Esas Noktalar</w:t>
      </w:r>
    </w:p>
    <w:p w14:paraId="284C9A87" w14:textId="77777777" w:rsidR="00241852" w:rsidRPr="00E1598E" w:rsidRDefault="00241852" w:rsidP="00241852">
      <w:pPr>
        <w:ind w:firstLine="720"/>
        <w:jc w:val="both"/>
      </w:pPr>
    </w:p>
    <w:p w14:paraId="1DD1034A" w14:textId="77777777" w:rsidR="00241852" w:rsidRPr="00E1598E" w:rsidRDefault="00241852" w:rsidP="00241852">
      <w:pPr>
        <w:jc w:val="both"/>
      </w:pPr>
      <w:r w:rsidRPr="00E1598E">
        <w:t>İletim şebekesinin kapasite bedellerine esas alınan noktaların tanımları aşağıda belirtilmektedir:</w:t>
      </w:r>
    </w:p>
    <w:p w14:paraId="7677E3FA" w14:textId="77777777" w:rsidR="000A77EB" w:rsidRPr="00E1598E" w:rsidRDefault="000A77EB" w:rsidP="00241852">
      <w:pPr>
        <w:jc w:val="both"/>
      </w:pPr>
    </w:p>
    <w:p w14:paraId="7071F391" w14:textId="77777777" w:rsidR="000A77EB" w:rsidRPr="00E1598E" w:rsidRDefault="000A77EB" w:rsidP="000A77EB">
      <w:pPr>
        <w:jc w:val="both"/>
        <w:rPr>
          <w:rFonts w:eastAsia="Calibri"/>
        </w:rPr>
      </w:pPr>
      <w:r w:rsidRPr="00E1598E">
        <w:rPr>
          <w:rFonts w:eastAsia="Calibri"/>
          <w:b/>
        </w:rPr>
        <w:lastRenderedPageBreak/>
        <w:t>Giriş 1:</w:t>
      </w:r>
      <w:r w:rsidRPr="00E1598E">
        <w:rPr>
          <w:rFonts w:eastAsia="Calibri"/>
        </w:rPr>
        <w:t xml:space="preserve"> Marmara Ereğlisi LNG Terminalinde, İletim Şebekesine sevk edilen gazlaştırılmış LNG’nin miktarlarının ve kalite değerlerinin belirlendiği ölçüm ünitesinin çıkış vanasının çıkış tarafıdır.</w:t>
      </w:r>
    </w:p>
    <w:p w14:paraId="5E99E45B" w14:textId="77777777" w:rsidR="000A77EB" w:rsidRPr="00E1598E" w:rsidRDefault="000A77EB" w:rsidP="000A77EB">
      <w:pPr>
        <w:jc w:val="both"/>
        <w:rPr>
          <w:rFonts w:eastAsia="Calibri"/>
        </w:rPr>
      </w:pPr>
    </w:p>
    <w:p w14:paraId="50DA5970" w14:textId="77777777" w:rsidR="000A77EB" w:rsidRPr="00E1598E" w:rsidRDefault="000A77EB" w:rsidP="000A77EB">
      <w:pPr>
        <w:jc w:val="both"/>
        <w:rPr>
          <w:rFonts w:eastAsia="Calibri"/>
        </w:rPr>
      </w:pPr>
      <w:r w:rsidRPr="00E1598E">
        <w:rPr>
          <w:rFonts w:eastAsia="Calibri"/>
          <w:b/>
        </w:rPr>
        <w:t>Giriş 2:</w:t>
      </w:r>
      <w:r w:rsidRPr="00E1598E">
        <w:rPr>
          <w:rFonts w:eastAsia="Calibri"/>
        </w:rPr>
        <w:t xml:space="preserve"> Mavi Akım Doğal Gaz Boru Hattı ile Türkiye’ye giriş yapan doğal gazın, miktarları ile kalitesinin belirlendiği Durusu Ana Ölçüm İstasyonudur.</w:t>
      </w:r>
    </w:p>
    <w:p w14:paraId="63A60A7B" w14:textId="77777777" w:rsidR="000A77EB" w:rsidRPr="00E1598E" w:rsidRDefault="000A77EB" w:rsidP="000A77EB">
      <w:pPr>
        <w:jc w:val="both"/>
        <w:rPr>
          <w:rFonts w:eastAsia="Calibri"/>
        </w:rPr>
      </w:pPr>
    </w:p>
    <w:p w14:paraId="73ED06FE" w14:textId="77777777" w:rsidR="000A77EB" w:rsidRPr="00E1598E" w:rsidRDefault="000A77EB" w:rsidP="000A77EB">
      <w:pPr>
        <w:jc w:val="both"/>
        <w:rPr>
          <w:rFonts w:eastAsia="Calibri"/>
        </w:rPr>
      </w:pPr>
      <w:r w:rsidRPr="00E1598E">
        <w:rPr>
          <w:rFonts w:eastAsia="Calibri"/>
          <w:b/>
        </w:rPr>
        <w:t>Giriş 3:</w:t>
      </w:r>
      <w:r w:rsidRPr="00E1598E">
        <w:rPr>
          <w:rFonts w:eastAsia="Calibri"/>
        </w:rPr>
        <w:t xml:space="preserve"> İran-Türkiye Doğal Gaz Boru Hattı’nın Türkiye sınırına girdiği nokta olup, teslim alınan miktarlar ve kalite değerleri İran tarafındaki Bazargan Ölçüm İstasyonunda belirlenir.</w:t>
      </w:r>
    </w:p>
    <w:p w14:paraId="67323735" w14:textId="77777777" w:rsidR="000A77EB" w:rsidRPr="00E1598E" w:rsidRDefault="000A77EB" w:rsidP="000A77EB">
      <w:pPr>
        <w:jc w:val="both"/>
        <w:rPr>
          <w:rFonts w:eastAsia="Calibri"/>
        </w:rPr>
      </w:pPr>
    </w:p>
    <w:p w14:paraId="0C7CCCB1" w14:textId="77777777" w:rsidR="000A77EB" w:rsidRPr="00E1598E" w:rsidRDefault="000A77EB" w:rsidP="000A77EB">
      <w:pPr>
        <w:jc w:val="both"/>
        <w:rPr>
          <w:rFonts w:eastAsia="Calibri"/>
        </w:rPr>
      </w:pPr>
      <w:r w:rsidRPr="00E1598E">
        <w:rPr>
          <w:rFonts w:eastAsia="Calibri"/>
          <w:b/>
        </w:rPr>
        <w:t>Giriş 4:</w:t>
      </w:r>
      <w:r w:rsidRPr="00E1598E">
        <w:rPr>
          <w:rFonts w:eastAsia="Calibri"/>
        </w:rPr>
        <w:t xml:space="preserve"> Azerbaycan-Türkiye Doğal Gaz Boru Hattı ile Türkiye’ye giriş yapan doğal gazın, miktarları ile kalitesinin belirlendiği Türkgözü Ana Ölçüm İstasyonudur. </w:t>
      </w:r>
    </w:p>
    <w:p w14:paraId="2AC54D03" w14:textId="77777777" w:rsidR="000A77EB" w:rsidRPr="00E1598E" w:rsidRDefault="000A77EB" w:rsidP="000A77EB">
      <w:pPr>
        <w:jc w:val="both"/>
        <w:rPr>
          <w:rFonts w:eastAsia="Calibri"/>
        </w:rPr>
      </w:pPr>
    </w:p>
    <w:p w14:paraId="6E283418" w14:textId="77777777" w:rsidR="000A77EB" w:rsidRPr="00E1598E" w:rsidRDefault="000A77EB" w:rsidP="000A77EB">
      <w:pPr>
        <w:jc w:val="both"/>
        <w:rPr>
          <w:rFonts w:eastAsia="Calibri"/>
        </w:rPr>
      </w:pPr>
      <w:r w:rsidRPr="00E1598E">
        <w:rPr>
          <w:rFonts w:eastAsia="Calibri"/>
          <w:b/>
        </w:rPr>
        <w:t>Giriş 5:</w:t>
      </w:r>
      <w:r w:rsidRPr="00E1598E">
        <w:rPr>
          <w:rFonts w:eastAsia="Calibri"/>
        </w:rPr>
        <w:t xml:space="preserve"> Egegaz Aliağa LNG Terminalinde, İletim Şebekesine sevk edilen gazlaştırılmış LNG’nin miktarlarının ve kalite değerlerinin belirlendiği ölçüm ünitesinin çıkış vanasının çıkış tarafıdır.</w:t>
      </w:r>
    </w:p>
    <w:p w14:paraId="17636BEA" w14:textId="77777777" w:rsidR="000A77EB" w:rsidRPr="00E1598E" w:rsidRDefault="000A77EB" w:rsidP="000A77EB">
      <w:pPr>
        <w:jc w:val="both"/>
        <w:rPr>
          <w:rFonts w:eastAsia="Calibri"/>
        </w:rPr>
      </w:pPr>
    </w:p>
    <w:p w14:paraId="5C2FB8C3" w14:textId="77777777" w:rsidR="000A77EB" w:rsidRPr="00E1598E" w:rsidRDefault="000A77EB" w:rsidP="000A77EB">
      <w:pPr>
        <w:jc w:val="both"/>
        <w:rPr>
          <w:rFonts w:eastAsia="Calibri"/>
        </w:rPr>
      </w:pPr>
      <w:r w:rsidRPr="00E1598E">
        <w:rPr>
          <w:rFonts w:eastAsia="Calibri"/>
          <w:b/>
        </w:rPr>
        <w:t>Giriş 6:</w:t>
      </w:r>
      <w:r w:rsidRPr="00E1598E">
        <w:rPr>
          <w:rFonts w:eastAsia="Calibri"/>
        </w:rPr>
        <w:t xml:space="preserve"> BOTAŞ Kuzey Marmara ve Değirmenköy-Silivri Doğal Gaz Yeraltı Depolarından çekilerek İletim Şebekesine sevk edilen doğal gazın miktarlarının ve kalite değerlerinin belirlendiği ölçüm ünitesinin çıkış vanasının çıkış tarafıdır.</w:t>
      </w:r>
    </w:p>
    <w:p w14:paraId="2DCFF8FE" w14:textId="77777777" w:rsidR="000A77EB" w:rsidRPr="00E1598E" w:rsidRDefault="000A77EB" w:rsidP="000A77EB">
      <w:pPr>
        <w:jc w:val="both"/>
        <w:rPr>
          <w:rFonts w:eastAsia="Calibri"/>
        </w:rPr>
      </w:pPr>
    </w:p>
    <w:p w14:paraId="1E8FEE2F" w14:textId="77777777" w:rsidR="000A77EB" w:rsidRPr="00E1598E" w:rsidRDefault="000A77EB" w:rsidP="000A77EB">
      <w:pPr>
        <w:jc w:val="both"/>
        <w:rPr>
          <w:rFonts w:eastAsia="Calibri"/>
        </w:rPr>
      </w:pPr>
      <w:r w:rsidRPr="00E1598E">
        <w:rPr>
          <w:rFonts w:eastAsia="Calibri"/>
          <w:b/>
        </w:rPr>
        <w:t>Giriş 7:</w:t>
      </w:r>
      <w:r w:rsidRPr="00E1598E">
        <w:rPr>
          <w:rFonts w:eastAsia="Calibri"/>
        </w:rPr>
        <w:t xml:space="preserve"> TPAO Akçakoca Üretim Tesislerinden İletim Şebekesine sevk edilen doğal gazın miktarlarının ve kalite değerlerinin belirlendiği ölçüm ünitesinin çıkış vanasının çıkış tarafıdır.</w:t>
      </w:r>
    </w:p>
    <w:p w14:paraId="12B1469C" w14:textId="77777777" w:rsidR="000A77EB" w:rsidRPr="00E1598E" w:rsidRDefault="000A77EB" w:rsidP="000A77EB">
      <w:pPr>
        <w:jc w:val="both"/>
        <w:rPr>
          <w:rFonts w:eastAsia="Calibri"/>
        </w:rPr>
      </w:pPr>
    </w:p>
    <w:p w14:paraId="35EE97BA" w14:textId="77777777" w:rsidR="000A77EB" w:rsidRPr="00E1598E" w:rsidRDefault="000A77EB" w:rsidP="000A77EB">
      <w:pPr>
        <w:jc w:val="both"/>
        <w:rPr>
          <w:rFonts w:eastAsia="Calibri"/>
        </w:rPr>
      </w:pPr>
      <w:r w:rsidRPr="00E1598E">
        <w:rPr>
          <w:rFonts w:eastAsia="Calibri"/>
          <w:b/>
        </w:rPr>
        <w:t>Giriş 8:</w:t>
      </w:r>
      <w:r w:rsidRPr="00E1598E">
        <w:rPr>
          <w:rFonts w:eastAsia="Calibri"/>
        </w:rPr>
        <w:t xml:space="preserve"> ETKİ Aliağa FSRU Terminalinde, İletim Şebekesine sevk edilen gazlaştırılmış LNG’nin miktarlarının ve kalite değerlerinin belirlendiği ölçüm ünitesinin çıkış vanasının çıkış tarafıdır.</w:t>
      </w:r>
    </w:p>
    <w:p w14:paraId="1D3F983C" w14:textId="77777777" w:rsidR="000A77EB" w:rsidRPr="00E1598E" w:rsidRDefault="000A77EB" w:rsidP="000A77EB">
      <w:pPr>
        <w:jc w:val="both"/>
        <w:rPr>
          <w:rFonts w:eastAsia="Calibri"/>
        </w:rPr>
      </w:pPr>
    </w:p>
    <w:p w14:paraId="2BBFEB39" w14:textId="77777777" w:rsidR="000A77EB" w:rsidRPr="00E1598E" w:rsidRDefault="000A77EB" w:rsidP="000A77EB">
      <w:pPr>
        <w:jc w:val="both"/>
        <w:rPr>
          <w:rFonts w:eastAsia="Calibri"/>
        </w:rPr>
      </w:pPr>
      <w:r w:rsidRPr="00E1598E">
        <w:rPr>
          <w:rFonts w:eastAsia="Calibri"/>
          <w:b/>
        </w:rPr>
        <w:t>Giriş 9:</w:t>
      </w:r>
      <w:r w:rsidRPr="00E1598E">
        <w:rPr>
          <w:rFonts w:eastAsia="Calibri"/>
        </w:rPr>
        <w:t xml:space="preserve"> BOTAŞ Tuz Gölü Yeraltı Depolarından çekilerek İletim Şebekesine sevk edilen doğal gazın miktarlarının ve kalite değerlerinin belirlendiği ölçüm ünitesinin çıkış vanasının çıkış tarafıdır. </w:t>
      </w:r>
    </w:p>
    <w:p w14:paraId="7CAFB0BC" w14:textId="77777777" w:rsidR="000A77EB" w:rsidRPr="00E1598E" w:rsidRDefault="000A77EB" w:rsidP="000A77EB">
      <w:pPr>
        <w:jc w:val="both"/>
        <w:rPr>
          <w:rFonts w:eastAsia="Calibri"/>
        </w:rPr>
      </w:pPr>
    </w:p>
    <w:p w14:paraId="7B1C23FD" w14:textId="77777777" w:rsidR="000A77EB" w:rsidRPr="00E1598E" w:rsidRDefault="000A77EB" w:rsidP="000A77EB">
      <w:pPr>
        <w:jc w:val="both"/>
        <w:rPr>
          <w:rFonts w:eastAsia="Calibri"/>
        </w:rPr>
      </w:pPr>
      <w:r w:rsidRPr="00E1598E">
        <w:rPr>
          <w:rFonts w:eastAsia="Calibri"/>
          <w:b/>
        </w:rPr>
        <w:t xml:space="preserve">Giriş </w:t>
      </w:r>
      <w:r w:rsidRPr="00E1598E">
        <w:rPr>
          <w:rFonts w:eastAsia="Calibri"/>
          <w:b/>
          <w:lang w:val="en-US"/>
        </w:rPr>
        <w:t>10:</w:t>
      </w:r>
      <w:r w:rsidRPr="00E1598E">
        <w:rPr>
          <w:rFonts w:eastAsia="Calibri"/>
          <w:lang w:val="en-US"/>
        </w:rPr>
        <w:t xml:space="preserve"> </w:t>
      </w:r>
      <w:r w:rsidRPr="00E1598E">
        <w:rPr>
          <w:rFonts w:eastAsia="Calibri"/>
        </w:rPr>
        <w:t>MARSA Gelibolu Üretim Tesislerinden İletim Şebekesine sevk edilen doğal gazın miktarlarının ve kalite değerlerinin belirlendiği ölçüm ünitesinin çıkış vanasının çıkış tarafıdır.</w:t>
      </w:r>
    </w:p>
    <w:p w14:paraId="019D9F51" w14:textId="77777777" w:rsidR="000A77EB" w:rsidRPr="00E1598E" w:rsidRDefault="000A77EB" w:rsidP="000A77EB">
      <w:pPr>
        <w:jc w:val="both"/>
        <w:rPr>
          <w:rFonts w:eastAsia="Calibri"/>
        </w:rPr>
      </w:pPr>
    </w:p>
    <w:p w14:paraId="16F5AA63" w14:textId="77777777" w:rsidR="000A77EB" w:rsidRPr="00E1598E" w:rsidRDefault="000A77EB" w:rsidP="000A77EB">
      <w:pPr>
        <w:jc w:val="both"/>
        <w:rPr>
          <w:rFonts w:eastAsia="Calibri"/>
        </w:rPr>
      </w:pPr>
      <w:r w:rsidRPr="00E1598E">
        <w:rPr>
          <w:rFonts w:eastAsia="Calibri"/>
          <w:b/>
        </w:rPr>
        <w:t>Giriş 11:</w:t>
      </w:r>
      <w:r w:rsidRPr="00E1598E">
        <w:rPr>
          <w:rFonts w:eastAsia="Calibri"/>
        </w:rPr>
        <w:t xml:space="preserve"> DÖRTYOL FSRU Terminalinde, İletim Şebekesine sevk edilen gazlaştırılmış LNG’nin miktarlarının ve kalite değerlerinin belirlendiği ölçüm ünitesinin çıkış vanasının çıkış tarafıdır.</w:t>
      </w:r>
    </w:p>
    <w:p w14:paraId="69966823" w14:textId="77777777" w:rsidR="000A77EB" w:rsidRPr="00E1598E" w:rsidRDefault="000A77EB" w:rsidP="000A77EB">
      <w:pPr>
        <w:jc w:val="both"/>
        <w:rPr>
          <w:rFonts w:eastAsia="Calibri"/>
        </w:rPr>
      </w:pPr>
      <w:r w:rsidRPr="00E1598E">
        <w:rPr>
          <w:rFonts w:eastAsia="Calibri"/>
        </w:rPr>
        <w:t xml:space="preserve"> </w:t>
      </w:r>
    </w:p>
    <w:p w14:paraId="4A25F9B1" w14:textId="77777777" w:rsidR="000A77EB" w:rsidRPr="00E1598E" w:rsidRDefault="000A77EB" w:rsidP="000A77EB">
      <w:pPr>
        <w:jc w:val="both"/>
        <w:rPr>
          <w:rFonts w:eastAsia="Calibri"/>
        </w:rPr>
      </w:pPr>
      <w:r w:rsidRPr="00E1598E">
        <w:rPr>
          <w:rFonts w:eastAsia="Calibri"/>
          <w:b/>
        </w:rPr>
        <w:t>Giriş 12:</w:t>
      </w:r>
      <w:r w:rsidRPr="00E1598E">
        <w:rPr>
          <w:rFonts w:eastAsia="Calibri"/>
        </w:rPr>
        <w:t xml:space="preserve"> TANAP SEYİTGAZİ noktasından BOTAŞ İletim Şebekesine giriş yapan doğal gazın, miktarları ile kalitesinin belirlendiği Eskişehir Seyitgazi’deki Ana Ölçüm İstasyonu’dur. </w:t>
      </w:r>
    </w:p>
    <w:p w14:paraId="2DE8DDE8" w14:textId="77777777" w:rsidR="000A77EB" w:rsidRPr="00E1598E" w:rsidRDefault="000A77EB" w:rsidP="000A77EB">
      <w:pPr>
        <w:jc w:val="both"/>
        <w:rPr>
          <w:rFonts w:eastAsia="Calibri"/>
        </w:rPr>
      </w:pPr>
    </w:p>
    <w:p w14:paraId="5995E89E" w14:textId="77777777" w:rsidR="000A77EB" w:rsidRPr="00E1598E" w:rsidRDefault="000A77EB" w:rsidP="000A77EB">
      <w:pPr>
        <w:jc w:val="both"/>
        <w:rPr>
          <w:rFonts w:eastAsia="Calibri"/>
          <w:lang w:val="en-US"/>
        </w:rPr>
      </w:pPr>
      <w:r w:rsidRPr="00E1598E">
        <w:rPr>
          <w:rFonts w:eastAsia="Calibri"/>
          <w:b/>
        </w:rPr>
        <w:t>Giriş 13:</w:t>
      </w:r>
      <w:r w:rsidRPr="00E1598E">
        <w:rPr>
          <w:rFonts w:eastAsia="Calibri"/>
        </w:rPr>
        <w:t xml:space="preserve"> </w:t>
      </w:r>
      <w:r w:rsidRPr="00E1598E">
        <w:rPr>
          <w:rFonts w:eastAsia="Calibri"/>
          <w:lang w:val="en-US"/>
        </w:rPr>
        <w:t xml:space="preserve">TÜRK AKIMI KIYIKÖY Doğal Gaz Boru Hattı ile Türkiye’ye giriş yapan doğal gazın, miktarları ile kalitesinin belirlendiği Kırklareli Kıyıköy’deki Ana Ölçüm İstasyonu’dur. </w:t>
      </w:r>
    </w:p>
    <w:p w14:paraId="6709DF58" w14:textId="77777777" w:rsidR="000A77EB" w:rsidRPr="00E1598E" w:rsidRDefault="000A77EB" w:rsidP="000A77EB">
      <w:pPr>
        <w:jc w:val="both"/>
        <w:rPr>
          <w:rFonts w:eastAsia="Calibri"/>
          <w:lang w:val="en-US"/>
        </w:rPr>
      </w:pPr>
    </w:p>
    <w:p w14:paraId="00CA2D08" w14:textId="77777777" w:rsidR="000A77EB" w:rsidRPr="00E1598E" w:rsidRDefault="000A77EB" w:rsidP="000A77EB">
      <w:pPr>
        <w:jc w:val="both"/>
        <w:rPr>
          <w:rFonts w:eastAsia="Calibri"/>
          <w:lang w:val="en-US"/>
        </w:rPr>
      </w:pPr>
      <w:r w:rsidRPr="00E1598E">
        <w:rPr>
          <w:rFonts w:eastAsia="Calibri"/>
          <w:b/>
        </w:rPr>
        <w:t>Giriş 14:</w:t>
      </w:r>
      <w:r w:rsidRPr="00E1598E">
        <w:rPr>
          <w:rFonts w:eastAsia="Calibri"/>
        </w:rPr>
        <w:t xml:space="preserve"> </w:t>
      </w:r>
      <w:r w:rsidRPr="00E1598E">
        <w:rPr>
          <w:rFonts w:eastAsia="Calibri"/>
          <w:lang w:val="en-US"/>
        </w:rPr>
        <w:t xml:space="preserve">TANAP TRAKYA noktasından BOTAŞ İletim Sistemine giriş yapan doğal gazın, miktarları ile kalitesinin belirlendiği Tekirdağ Şarköy’deki Ana Ölçüm İstasyonu’dur. </w:t>
      </w:r>
    </w:p>
    <w:p w14:paraId="672E3B42" w14:textId="77777777" w:rsidR="000A77EB" w:rsidRPr="00E1598E" w:rsidRDefault="000A77EB" w:rsidP="000A77EB">
      <w:pPr>
        <w:jc w:val="both"/>
        <w:rPr>
          <w:rFonts w:eastAsia="Calibri"/>
          <w:lang w:val="en-US"/>
        </w:rPr>
      </w:pPr>
    </w:p>
    <w:p w14:paraId="73A44B62" w14:textId="77777777" w:rsidR="000A77EB" w:rsidRPr="00E1598E" w:rsidRDefault="000A77EB" w:rsidP="000A77EB">
      <w:pPr>
        <w:jc w:val="both"/>
        <w:rPr>
          <w:rFonts w:eastAsia="Calibri"/>
        </w:rPr>
      </w:pPr>
      <w:r w:rsidRPr="00E1598E">
        <w:rPr>
          <w:rFonts w:eastAsia="Calibri"/>
          <w:b/>
        </w:rPr>
        <w:t xml:space="preserve">Giriş 15: </w:t>
      </w:r>
      <w:r w:rsidRPr="00E1598E">
        <w:rPr>
          <w:rFonts w:eastAsia="Calibri"/>
        </w:rPr>
        <w:t>SAROS FSRU Terminalinde, iletim şebekesine sevk edilen gazlaştırılmış LNG’nin miktarlarının ve kalite değerlerinin belirlendiği ölçüm ünitesinin çıkış vanasının çıkış tarafıdır.</w:t>
      </w:r>
    </w:p>
    <w:p w14:paraId="00ECF64D" w14:textId="77777777" w:rsidR="000A77EB" w:rsidRPr="00E1598E" w:rsidRDefault="000A77EB" w:rsidP="000A77EB">
      <w:pPr>
        <w:jc w:val="both"/>
        <w:rPr>
          <w:rFonts w:eastAsia="Calibri"/>
        </w:rPr>
      </w:pPr>
      <w:r w:rsidRPr="00E1598E">
        <w:rPr>
          <w:rFonts w:eastAsia="Calibri"/>
        </w:rPr>
        <w:t xml:space="preserve">  </w:t>
      </w:r>
    </w:p>
    <w:p w14:paraId="1DB199A7" w14:textId="1383930F" w:rsidR="000A77EB" w:rsidRPr="00E1598E" w:rsidRDefault="000A77EB" w:rsidP="000A77EB">
      <w:pPr>
        <w:jc w:val="both"/>
        <w:rPr>
          <w:rFonts w:ascii="Calibri" w:eastAsia="Calibri" w:hAnsi="Calibri"/>
        </w:rPr>
      </w:pPr>
      <w:r w:rsidRPr="00E1598E">
        <w:rPr>
          <w:rFonts w:eastAsia="Calibri"/>
          <w:b/>
        </w:rPr>
        <w:t>Giriş 16</w:t>
      </w:r>
      <w:r w:rsidRPr="00E1598E">
        <w:rPr>
          <w:rFonts w:eastAsia="Calibri"/>
        </w:rPr>
        <w:t>: TPAO FİLYOS, Karadeniz Üretim Tesislerinden İletim Şebekesine sevk edilen doğal gazın miktarlarının ve kalite değerlerinin belirlendiği ölçüm ünitesinin çıkış vanasının çıkış tarafıdır.</w:t>
      </w:r>
      <w:r w:rsidRPr="00E1598E">
        <w:rPr>
          <w:rFonts w:ascii="Calibri" w:eastAsia="Calibri" w:hAnsi="Calibri"/>
        </w:rPr>
        <w:t xml:space="preserve"> </w:t>
      </w:r>
    </w:p>
    <w:p w14:paraId="39AD507C" w14:textId="77777777" w:rsidR="00414284" w:rsidRPr="00E1598E" w:rsidRDefault="00414284" w:rsidP="000A77EB">
      <w:pPr>
        <w:jc w:val="both"/>
        <w:rPr>
          <w:rFonts w:ascii="Calibri" w:eastAsia="Calibri" w:hAnsi="Calibri"/>
        </w:rPr>
      </w:pPr>
    </w:p>
    <w:p w14:paraId="41605F8E" w14:textId="77777777" w:rsidR="00241852" w:rsidRPr="00E1598E" w:rsidRDefault="00241852" w:rsidP="00241852">
      <w:pPr>
        <w:jc w:val="both"/>
      </w:pPr>
      <w:r w:rsidRPr="00E1598E">
        <w:rPr>
          <w:b/>
        </w:rPr>
        <w:t xml:space="preserve">Çıkış Noktası: </w:t>
      </w:r>
      <w:r w:rsidR="000A77EB" w:rsidRPr="00E1598E">
        <w:t>Taşıyıcı tarafından teslim alınan doğal gazın, Taşıtanlara veya onlar adına hareket edenlere teslim edildiği tüm Çıkış Noktaları, tek bir çıkış zonu içinde değerlendirilmiştir.</w:t>
      </w:r>
    </w:p>
    <w:p w14:paraId="293E9F4B" w14:textId="77777777" w:rsidR="00241852" w:rsidRPr="00E1598E" w:rsidRDefault="00241852" w:rsidP="00241852">
      <w:pPr>
        <w:ind w:firstLine="720"/>
        <w:jc w:val="both"/>
      </w:pPr>
    </w:p>
    <w:p w14:paraId="6271D42A" w14:textId="77777777" w:rsidR="00241852" w:rsidRPr="00E1598E" w:rsidRDefault="00241852" w:rsidP="00241852">
      <w:pPr>
        <w:jc w:val="both"/>
        <w:rPr>
          <w:b/>
        </w:rPr>
      </w:pPr>
      <w:r w:rsidRPr="00E1598E">
        <w:rPr>
          <w:b/>
        </w:rPr>
        <w:lastRenderedPageBreak/>
        <w:t>2.2. Kapasite Bedelleri İçin Öngörülen Gelir Tavanının Tahsisi</w:t>
      </w:r>
    </w:p>
    <w:p w14:paraId="43E539E1" w14:textId="77777777" w:rsidR="00241852" w:rsidRPr="00E1598E" w:rsidRDefault="00241852" w:rsidP="00241852">
      <w:pPr>
        <w:ind w:firstLine="720"/>
        <w:jc w:val="both"/>
      </w:pPr>
    </w:p>
    <w:p w14:paraId="4BEA58C9" w14:textId="77777777" w:rsidR="00EC4EE7" w:rsidRPr="00E1598E" w:rsidRDefault="00EC4EE7" w:rsidP="00EC4EE7">
      <w:pPr>
        <w:jc w:val="both"/>
      </w:pPr>
      <w:r w:rsidRPr="00E1598E">
        <w:t xml:space="preserve">İlgili yıl için onaylanan gelir tavanının %45’inin kapasite bedelleri üzerinden karşılanması esastır. Bu tutar giriş ve çıkış noktalarına tahsis edilir. Bölüm 2.1.’de tanımlanan noktalara ait kapasite bedellerine tahsisinde ilgili noktaların sabit kıymet değeri ve iletim stoku maliyeti dikkate alınır. </w:t>
      </w:r>
    </w:p>
    <w:p w14:paraId="785CEE02" w14:textId="77777777" w:rsidR="00241852" w:rsidRPr="00E1598E" w:rsidRDefault="00241852" w:rsidP="00241852">
      <w:pPr>
        <w:ind w:firstLine="720"/>
        <w:jc w:val="both"/>
      </w:pPr>
    </w:p>
    <w:p w14:paraId="2023BE83" w14:textId="77777777" w:rsidR="00241852" w:rsidRPr="00E1598E" w:rsidRDefault="00241852" w:rsidP="00241852">
      <w:pPr>
        <w:jc w:val="both"/>
      </w:pPr>
      <w:r w:rsidRPr="00E1598E">
        <w:t>Her bir noktaya tahsis edilen gelir tavanı Eşitlik (1)’e göre hesaplanır.</w:t>
      </w:r>
    </w:p>
    <w:p w14:paraId="16505DC4" w14:textId="77777777" w:rsidR="00241852" w:rsidRPr="00E1598E" w:rsidRDefault="00241852" w:rsidP="00241852">
      <w:pPr>
        <w:ind w:firstLine="720"/>
        <w:jc w:val="both"/>
      </w:pPr>
    </w:p>
    <w:p w14:paraId="2429E832" w14:textId="77777777" w:rsidR="00241852" w:rsidRPr="00E1598E" w:rsidRDefault="00241852" w:rsidP="00241852">
      <w:pPr>
        <w:tabs>
          <w:tab w:val="left" w:pos="8789"/>
        </w:tabs>
        <w:ind w:left="709"/>
        <w:contextualSpacing/>
        <w:jc w:val="both"/>
        <w:rPr>
          <w:b/>
        </w:rPr>
      </w:pPr>
      <w:r w:rsidRPr="00E1598E">
        <w:rPr>
          <w:position w:val="-60"/>
        </w:rPr>
        <w:object w:dxaOrig="3255" w:dyaOrig="1005" w14:anchorId="0963B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15pt;height:50.7pt" o:ole="">
            <v:imagedata r:id="rId8" o:title=""/>
          </v:shape>
          <o:OLEObject Type="Embed" ProgID="Equation.DSMT4" ShapeID="_x0000_i1025" DrawAspect="Content" ObjectID="_1828616015" r:id="rId9"/>
        </w:object>
      </w:r>
      <w:r w:rsidRPr="00E1598E">
        <w:rPr>
          <w:b/>
        </w:rPr>
        <w:tab/>
        <w:t>(1)</w:t>
      </w:r>
    </w:p>
    <w:p w14:paraId="76BD7E48" w14:textId="77777777" w:rsidR="00241852" w:rsidRPr="00E1598E" w:rsidRDefault="00241852" w:rsidP="00241852">
      <w:pPr>
        <w:jc w:val="both"/>
      </w:pPr>
    </w:p>
    <w:p w14:paraId="5EA2923B" w14:textId="77777777" w:rsidR="00241852" w:rsidRPr="00E1598E" w:rsidRDefault="00241852" w:rsidP="00241852">
      <w:pPr>
        <w:jc w:val="both"/>
      </w:pPr>
      <w:r w:rsidRPr="00E1598E">
        <w:t>Bu eşitlikte geçen;</w:t>
      </w:r>
    </w:p>
    <w:p w14:paraId="1DD0C7DD" w14:textId="77777777" w:rsidR="00241852" w:rsidRPr="00E1598E" w:rsidRDefault="00241852" w:rsidP="00241852">
      <w:pPr>
        <w:ind w:left="709"/>
        <w:contextualSpacing/>
        <w:jc w:val="both"/>
      </w:pPr>
    </w:p>
    <w:p w14:paraId="6D90285F" w14:textId="77777777" w:rsidR="00EC4EE7" w:rsidRPr="00E1598E" w:rsidRDefault="00EC4EE7" w:rsidP="00EC4EE7">
      <w:pPr>
        <w:ind w:left="709"/>
        <w:contextualSpacing/>
        <w:jc w:val="both"/>
      </w:pPr>
      <w:r w:rsidRPr="00E1598E">
        <w:t>i</w:t>
      </w:r>
      <w:r w:rsidRPr="00E1598E">
        <w:tab/>
        <w:t>: Bölüm 2.1.’de tanımlanan her bir noktayı,</w:t>
      </w:r>
    </w:p>
    <w:p w14:paraId="4E69C277" w14:textId="77777777" w:rsidR="00EC4EE7" w:rsidRPr="00E1598E" w:rsidRDefault="00EC4EE7" w:rsidP="00EC4EE7">
      <w:pPr>
        <w:ind w:left="709"/>
        <w:contextualSpacing/>
        <w:jc w:val="both"/>
      </w:pPr>
      <w:r w:rsidRPr="00E1598E">
        <w:t>n</w:t>
      </w:r>
      <w:r w:rsidRPr="00E1598E">
        <w:tab/>
        <w:t>: Bölüm 2.1.’de tanımlanan toplam nokta sayısını,</w:t>
      </w:r>
    </w:p>
    <w:p w14:paraId="4A56361B" w14:textId="77777777" w:rsidR="00EC4EE7" w:rsidRPr="00E1598E" w:rsidRDefault="00EC4EE7" w:rsidP="00EC4EE7">
      <w:pPr>
        <w:ind w:left="709"/>
        <w:contextualSpacing/>
        <w:jc w:val="both"/>
        <w:rPr>
          <w:b/>
        </w:rPr>
      </w:pPr>
      <w:r w:rsidRPr="00E1598E">
        <w:t>NGT</w:t>
      </w:r>
      <w:r w:rsidRPr="00E1598E">
        <w:rPr>
          <w:vertAlign w:val="subscript"/>
        </w:rPr>
        <w:t>i</w:t>
      </w:r>
      <w:r w:rsidRPr="00E1598E">
        <w:tab/>
        <w:t>: i noktasına tahsis edilen gelir tavanını,</w:t>
      </w:r>
    </w:p>
    <w:p w14:paraId="686692B5" w14:textId="77777777" w:rsidR="00EC4EE7" w:rsidRPr="00E1598E" w:rsidRDefault="00EC4EE7" w:rsidP="00EC4EE7">
      <w:pPr>
        <w:ind w:left="709"/>
        <w:contextualSpacing/>
        <w:jc w:val="both"/>
        <w:rPr>
          <w:b/>
        </w:rPr>
      </w:pPr>
      <w:r w:rsidRPr="00E1598E">
        <w:t>KGT</w:t>
      </w:r>
      <w:r w:rsidRPr="00E1598E">
        <w:tab/>
        <w:t>: Kapasite bedellerine tahsis edilen gelir tavanını,</w:t>
      </w:r>
    </w:p>
    <w:p w14:paraId="42170EFB" w14:textId="77777777" w:rsidR="00EC4EE7" w:rsidRPr="00E1598E" w:rsidRDefault="00EC4EE7" w:rsidP="00EC4EE7">
      <w:pPr>
        <w:ind w:left="709"/>
        <w:contextualSpacing/>
        <w:jc w:val="both"/>
      </w:pPr>
      <w:r w:rsidRPr="00E1598E">
        <w:t>SKD</w:t>
      </w:r>
      <w:r w:rsidRPr="00E1598E">
        <w:rPr>
          <w:vertAlign w:val="subscript"/>
        </w:rPr>
        <w:t>i</w:t>
      </w:r>
      <w:r w:rsidRPr="00E1598E">
        <w:tab/>
        <w:t>: i noktası için tarife hesaplamalarında esas alınan sabit kıymet değerini,</w:t>
      </w:r>
    </w:p>
    <w:p w14:paraId="09A69C3D" w14:textId="77777777" w:rsidR="00EC4EE7" w:rsidRPr="00E1598E" w:rsidRDefault="00EC4EE7" w:rsidP="00EC4EE7">
      <w:pPr>
        <w:ind w:left="709"/>
        <w:contextualSpacing/>
        <w:jc w:val="both"/>
      </w:pPr>
      <w:r w:rsidRPr="00E1598E">
        <w:t>İSM</w:t>
      </w:r>
      <w:r w:rsidRPr="00E1598E">
        <w:rPr>
          <w:vertAlign w:val="subscript"/>
        </w:rPr>
        <w:t>i</w:t>
      </w:r>
      <w:r w:rsidRPr="00E1598E">
        <w:tab/>
        <w:t>: i noktası için tarife hesaplamalarında esas alınan iletim stoku maliyetini</w:t>
      </w:r>
    </w:p>
    <w:p w14:paraId="57C47699" w14:textId="77777777" w:rsidR="00241852" w:rsidRPr="00E1598E" w:rsidRDefault="00241852" w:rsidP="00241852">
      <w:pPr>
        <w:ind w:left="709"/>
        <w:contextualSpacing/>
        <w:jc w:val="both"/>
      </w:pPr>
    </w:p>
    <w:p w14:paraId="2706AC64" w14:textId="77777777" w:rsidR="00241852" w:rsidRPr="00E1598E" w:rsidRDefault="00241852" w:rsidP="00241852">
      <w:pPr>
        <w:jc w:val="both"/>
      </w:pPr>
    </w:p>
    <w:p w14:paraId="461045E1" w14:textId="77777777" w:rsidR="00241852" w:rsidRPr="00E1598E" w:rsidRDefault="00241852" w:rsidP="00241852">
      <w:pPr>
        <w:jc w:val="both"/>
      </w:pPr>
      <w:r w:rsidRPr="00E1598E">
        <w:t>ifade eder.</w:t>
      </w:r>
    </w:p>
    <w:p w14:paraId="7955A280" w14:textId="77777777" w:rsidR="00241852" w:rsidRPr="00E1598E" w:rsidRDefault="00241852" w:rsidP="00241852">
      <w:pPr>
        <w:jc w:val="both"/>
      </w:pPr>
    </w:p>
    <w:p w14:paraId="6547F991" w14:textId="77777777" w:rsidR="00241852" w:rsidRPr="00E1598E" w:rsidRDefault="00241852" w:rsidP="00241852">
      <w:pPr>
        <w:jc w:val="both"/>
        <w:rPr>
          <w:b/>
        </w:rPr>
      </w:pPr>
      <w:r w:rsidRPr="00E1598E">
        <w:rPr>
          <w:b/>
        </w:rPr>
        <w:t>2.3. Kapasite Bedellerinin Hesaplanması</w:t>
      </w:r>
    </w:p>
    <w:p w14:paraId="153E0D44" w14:textId="77777777" w:rsidR="00241852" w:rsidRPr="00E1598E" w:rsidRDefault="00241852" w:rsidP="00241852">
      <w:pPr>
        <w:ind w:firstLine="720"/>
        <w:jc w:val="both"/>
      </w:pPr>
    </w:p>
    <w:p w14:paraId="088F982A" w14:textId="77777777" w:rsidR="00241852" w:rsidRPr="00E1598E" w:rsidRDefault="00241852" w:rsidP="00241852">
      <w:pPr>
        <w:jc w:val="both"/>
      </w:pPr>
      <w:r w:rsidRPr="00E1598E">
        <w:t>Giriş noktaları için ilgili yılda geçerli olan kapasite bedeli (TL/Sm</w:t>
      </w:r>
      <w:r w:rsidRPr="00E1598E">
        <w:rPr>
          <w:vertAlign w:val="superscript"/>
        </w:rPr>
        <w:t>3</w:t>
      </w:r>
      <w:r w:rsidRPr="00E1598E">
        <w:t xml:space="preserve">-Gün) Eşitlik (2)’ye göre hesaplanır. </w:t>
      </w:r>
    </w:p>
    <w:p w14:paraId="07CD280D" w14:textId="77777777" w:rsidR="00241852" w:rsidRPr="00E1598E" w:rsidRDefault="00241852" w:rsidP="00241852">
      <w:pPr>
        <w:jc w:val="both"/>
      </w:pPr>
    </w:p>
    <w:p w14:paraId="64863551" w14:textId="77777777" w:rsidR="00241852" w:rsidRPr="00E1598E" w:rsidRDefault="00241852" w:rsidP="00241852">
      <w:pPr>
        <w:tabs>
          <w:tab w:val="left" w:pos="8789"/>
        </w:tabs>
        <w:ind w:left="709"/>
        <w:contextualSpacing/>
        <w:jc w:val="both"/>
      </w:pPr>
      <w:r w:rsidRPr="00E1598E">
        <w:rPr>
          <w:position w:val="-62"/>
        </w:rPr>
        <w:object w:dxaOrig="1680" w:dyaOrig="1365" w14:anchorId="528DBFE7">
          <v:shape id="_x0000_i1026" type="#_x0000_t75" style="width:83.25pt;height:68.25pt" o:ole="">
            <v:imagedata r:id="rId10" o:title=""/>
          </v:shape>
          <o:OLEObject Type="Embed" ProgID="Equation.DSMT4" ShapeID="_x0000_i1026" DrawAspect="Content" ObjectID="_1828616016" r:id="rId11"/>
        </w:object>
      </w:r>
      <w:r w:rsidRPr="00E1598E">
        <w:tab/>
      </w:r>
      <w:r w:rsidRPr="00E1598E">
        <w:rPr>
          <w:b/>
        </w:rPr>
        <w:t>(2)</w:t>
      </w:r>
    </w:p>
    <w:p w14:paraId="0BB83FEB" w14:textId="77777777" w:rsidR="00241852" w:rsidRPr="00E1598E" w:rsidRDefault="00241852" w:rsidP="00241852">
      <w:pPr>
        <w:jc w:val="both"/>
      </w:pPr>
    </w:p>
    <w:p w14:paraId="3678C588" w14:textId="77777777" w:rsidR="00241852" w:rsidRPr="00E1598E" w:rsidRDefault="00241852" w:rsidP="00241852">
      <w:pPr>
        <w:jc w:val="both"/>
      </w:pPr>
      <w:r w:rsidRPr="00E1598E">
        <w:t>Bu eşitlikte geçen;</w:t>
      </w:r>
    </w:p>
    <w:p w14:paraId="523EBDDC" w14:textId="77777777" w:rsidR="00241852" w:rsidRPr="00E1598E" w:rsidRDefault="00241852" w:rsidP="00241852">
      <w:pPr>
        <w:ind w:left="709"/>
        <w:contextualSpacing/>
        <w:jc w:val="both"/>
      </w:pPr>
    </w:p>
    <w:p w14:paraId="4C067764" w14:textId="77777777" w:rsidR="00241852" w:rsidRPr="00E1598E" w:rsidRDefault="00241852" w:rsidP="00241852">
      <w:pPr>
        <w:ind w:left="709"/>
        <w:contextualSpacing/>
        <w:jc w:val="both"/>
      </w:pPr>
      <w:r w:rsidRPr="00E1598E">
        <w:t>j</w:t>
      </w:r>
      <w:r w:rsidRPr="00E1598E">
        <w:tab/>
        <w:t>: Bölüm 2.1.’de tanımlanan her bir giriş noktasını,</w:t>
      </w:r>
    </w:p>
    <w:p w14:paraId="2F1F0255" w14:textId="77777777" w:rsidR="00241852" w:rsidRPr="00E1598E" w:rsidRDefault="00241852" w:rsidP="00241852">
      <w:pPr>
        <w:ind w:left="709"/>
        <w:contextualSpacing/>
        <w:jc w:val="both"/>
      </w:pPr>
      <w:r w:rsidRPr="00E1598E">
        <w:t>m</w:t>
      </w:r>
      <w:r w:rsidRPr="00E1598E">
        <w:tab/>
        <w:t>: Bölüm 2.1.’de tanımlanan toplam giriş noktası sayısını,</w:t>
      </w:r>
    </w:p>
    <w:p w14:paraId="53A949E6" w14:textId="77777777" w:rsidR="00241852" w:rsidRPr="00E1598E" w:rsidRDefault="00241852" w:rsidP="00241852">
      <w:pPr>
        <w:ind w:left="709"/>
        <w:contextualSpacing/>
        <w:jc w:val="both"/>
        <w:rPr>
          <w:b/>
        </w:rPr>
      </w:pPr>
      <w:r w:rsidRPr="00E1598E">
        <w:t>GKB</w:t>
      </w:r>
      <w:r w:rsidRPr="00E1598E">
        <w:tab/>
        <w:t>: Giriş kapasite bedelini,</w:t>
      </w:r>
    </w:p>
    <w:p w14:paraId="2084E049" w14:textId="77777777" w:rsidR="00241852" w:rsidRPr="00E1598E" w:rsidRDefault="00241852" w:rsidP="00241852">
      <w:pPr>
        <w:ind w:left="709"/>
        <w:contextualSpacing/>
        <w:jc w:val="both"/>
        <w:rPr>
          <w:b/>
        </w:rPr>
      </w:pPr>
      <w:r w:rsidRPr="00E1598E">
        <w:t>NGT</w:t>
      </w:r>
      <w:r w:rsidRPr="00E1598E">
        <w:rPr>
          <w:vertAlign w:val="subscript"/>
        </w:rPr>
        <w:t>j</w:t>
      </w:r>
      <w:r w:rsidRPr="00E1598E">
        <w:rPr>
          <w:vertAlign w:val="subscript"/>
        </w:rPr>
        <w:tab/>
      </w:r>
      <w:r w:rsidRPr="00E1598E">
        <w:t>: j noktasına tahsis edilen gelir tavanını,</w:t>
      </w:r>
    </w:p>
    <w:p w14:paraId="249D214B" w14:textId="77777777" w:rsidR="00241852" w:rsidRPr="00E1598E" w:rsidRDefault="00241852" w:rsidP="00241852">
      <w:pPr>
        <w:ind w:left="709"/>
        <w:contextualSpacing/>
        <w:jc w:val="both"/>
      </w:pPr>
      <w:r w:rsidRPr="00E1598E">
        <w:t>KM</w:t>
      </w:r>
      <w:r w:rsidRPr="00E1598E">
        <w:rPr>
          <w:vertAlign w:val="subscript"/>
        </w:rPr>
        <w:t>j</w:t>
      </w:r>
      <w:r w:rsidRPr="00E1598E">
        <w:tab/>
        <w:t>: j noktası için öngörülen yıllık kapasite rezervasyon miktarını (Sm</w:t>
      </w:r>
      <w:r w:rsidRPr="00E1598E">
        <w:rPr>
          <w:vertAlign w:val="superscript"/>
        </w:rPr>
        <w:t>3</w:t>
      </w:r>
      <w:r w:rsidRPr="00E1598E">
        <w:t>),</w:t>
      </w:r>
    </w:p>
    <w:p w14:paraId="3B130CBE" w14:textId="77777777" w:rsidR="00241852" w:rsidRPr="00E1598E" w:rsidRDefault="00241852" w:rsidP="00241852">
      <w:pPr>
        <w:ind w:left="709"/>
        <w:contextualSpacing/>
        <w:jc w:val="both"/>
      </w:pPr>
    </w:p>
    <w:p w14:paraId="64DCAE56" w14:textId="77777777" w:rsidR="00241852" w:rsidRPr="00E1598E" w:rsidRDefault="00241852" w:rsidP="00241852">
      <w:pPr>
        <w:jc w:val="both"/>
      </w:pPr>
      <w:r w:rsidRPr="00E1598E">
        <w:t>ifade eder.</w:t>
      </w:r>
    </w:p>
    <w:p w14:paraId="011906DE" w14:textId="77777777" w:rsidR="00241852" w:rsidRPr="00E1598E" w:rsidRDefault="00241852" w:rsidP="00241852">
      <w:pPr>
        <w:ind w:firstLine="720"/>
        <w:jc w:val="both"/>
      </w:pPr>
    </w:p>
    <w:p w14:paraId="38291C29" w14:textId="77777777" w:rsidR="00241852" w:rsidRPr="00E1598E" w:rsidRDefault="00867257" w:rsidP="00867257">
      <w:pPr>
        <w:jc w:val="both"/>
      </w:pPr>
      <w:r w:rsidRPr="00E1598E">
        <w:t>Çıkış noktaları için ilgili yılda geçerli olan kapasite bedeli (TL/Sm3-Gün), Bölüm 2.2. kapsamında hesaplanan gelir tavanlarının ilgili nokta için öngörülen/kesinleşen yıllık rezerve kapasite miktarına bölünmesi suretiyle elde edilir.</w:t>
      </w:r>
    </w:p>
    <w:p w14:paraId="1C2A1C80" w14:textId="77777777" w:rsidR="00867257" w:rsidRPr="00E1598E" w:rsidRDefault="00867257" w:rsidP="00867257">
      <w:pPr>
        <w:jc w:val="both"/>
      </w:pPr>
    </w:p>
    <w:p w14:paraId="16942402" w14:textId="77777777" w:rsidR="00241852" w:rsidRPr="00E1598E" w:rsidRDefault="00241852" w:rsidP="00241852">
      <w:pPr>
        <w:jc w:val="both"/>
      </w:pPr>
      <w:r w:rsidRPr="00E1598E">
        <w:t xml:space="preserve">Yeraltı depolama tesisleri giriş noktalarında </w:t>
      </w:r>
      <w:r w:rsidRPr="00E1598E">
        <w:rPr>
          <w:b/>
        </w:rPr>
        <w:t>iletim çıkış kapasite bedeli</w:t>
      </w:r>
      <w:r w:rsidRPr="00E1598E">
        <w:t xml:space="preserve">nin %10’u uygulanır. </w:t>
      </w:r>
    </w:p>
    <w:p w14:paraId="4C361B78" w14:textId="77777777" w:rsidR="00241852" w:rsidRPr="00E1598E" w:rsidRDefault="00241852" w:rsidP="00241852">
      <w:pPr>
        <w:ind w:firstLine="720"/>
        <w:jc w:val="both"/>
      </w:pPr>
    </w:p>
    <w:p w14:paraId="52C8B404" w14:textId="77777777" w:rsidR="00241852" w:rsidRPr="00E1598E" w:rsidRDefault="00241852" w:rsidP="00241852">
      <w:pPr>
        <w:jc w:val="both"/>
      </w:pPr>
      <w:r w:rsidRPr="00E1598E">
        <w:lastRenderedPageBreak/>
        <w:t>ŞİD’in “</w:t>
      </w:r>
      <w:r w:rsidRPr="00E1598E">
        <w:rPr>
          <w:b/>
        </w:rPr>
        <w:t>Atıl Kapasite Uygulama Esasları</w:t>
      </w:r>
      <w:r w:rsidRPr="00E1598E">
        <w:t>” başlıklı 2.1.4. maddesi kapsamında rezerve edilen kapasiteler için uygulanacak atıl kapasite bedelleri, anılan maddede tanımlanmış dönem katsayılarının ilgili nokta için geçerli olan kapasite bedeli ile çarpılması suretiyle hesaplanır.</w:t>
      </w:r>
    </w:p>
    <w:p w14:paraId="78AEED18" w14:textId="77777777" w:rsidR="00241852" w:rsidRPr="00E1598E" w:rsidRDefault="00241852" w:rsidP="00241852">
      <w:pPr>
        <w:ind w:firstLine="720"/>
        <w:jc w:val="both"/>
      </w:pPr>
    </w:p>
    <w:p w14:paraId="69CAA448" w14:textId="77777777" w:rsidR="00241852" w:rsidRPr="00E1598E" w:rsidRDefault="00241852" w:rsidP="00241852">
      <w:pPr>
        <w:jc w:val="both"/>
      </w:pPr>
      <w:r w:rsidRPr="00E1598E">
        <w:t>ŞİD’in “</w:t>
      </w:r>
      <w:r w:rsidRPr="00E1598E">
        <w:rPr>
          <w:b/>
        </w:rPr>
        <w:t>Atıl Kapasite Uygulama Esasları</w:t>
      </w:r>
      <w:r w:rsidRPr="00E1598E">
        <w:t>” başlıklı 2.1.4. maddesi uyarınca, depolama tesislerine (LNG Terminalleri hariç) bağlı giriş ve çıkış noktalarında;</w:t>
      </w:r>
    </w:p>
    <w:p w14:paraId="1E0D5405" w14:textId="77777777" w:rsidR="00241852" w:rsidRPr="00E1598E" w:rsidRDefault="00241852" w:rsidP="00241852">
      <w:pPr>
        <w:ind w:firstLine="720"/>
        <w:jc w:val="both"/>
      </w:pPr>
    </w:p>
    <w:p w14:paraId="005D12F2" w14:textId="77777777" w:rsidR="00241852" w:rsidRPr="00E1598E" w:rsidRDefault="00241852" w:rsidP="00241852">
      <w:pPr>
        <w:numPr>
          <w:ilvl w:val="0"/>
          <w:numId w:val="46"/>
        </w:numPr>
        <w:ind w:left="1134" w:hanging="425"/>
        <w:contextualSpacing/>
        <w:jc w:val="both"/>
      </w:pPr>
      <w:r w:rsidRPr="00E1598E">
        <w:t>günlük kapasite bedeli olarak, ilgili noktalar için belirlenen atıl kapasite bedellerinin 2 katı,</w:t>
      </w:r>
    </w:p>
    <w:p w14:paraId="0DAC7A33" w14:textId="77777777" w:rsidR="00241852" w:rsidRPr="00E1598E" w:rsidRDefault="00241852" w:rsidP="00241852">
      <w:pPr>
        <w:numPr>
          <w:ilvl w:val="0"/>
          <w:numId w:val="46"/>
        </w:numPr>
        <w:ind w:left="1134" w:hanging="425"/>
        <w:contextualSpacing/>
        <w:jc w:val="both"/>
      </w:pPr>
      <w:r w:rsidRPr="00E1598E">
        <w:t>aylık kapasite bedeli olarak, ilgili noktalar için belirlenen atıl kapasite bedellerinin 1,3 katı</w:t>
      </w:r>
    </w:p>
    <w:p w14:paraId="2CD8B76B" w14:textId="77777777" w:rsidR="00241852" w:rsidRPr="00E1598E" w:rsidRDefault="00241852" w:rsidP="00241852">
      <w:pPr>
        <w:jc w:val="both"/>
      </w:pPr>
      <w:r w:rsidRPr="00E1598E">
        <w:t>uygulanır.</w:t>
      </w:r>
    </w:p>
    <w:p w14:paraId="11015142" w14:textId="77777777" w:rsidR="00241852" w:rsidRPr="00E1598E" w:rsidRDefault="00241852" w:rsidP="00241852">
      <w:pPr>
        <w:ind w:firstLine="720"/>
        <w:jc w:val="both"/>
      </w:pPr>
    </w:p>
    <w:p w14:paraId="7A96FE4E" w14:textId="77777777" w:rsidR="00241852" w:rsidRPr="00E1598E" w:rsidRDefault="00241852" w:rsidP="00241852">
      <w:pPr>
        <w:jc w:val="both"/>
        <w:rPr>
          <w:b/>
        </w:rPr>
      </w:pPr>
      <w:r w:rsidRPr="00E1598E">
        <w:rPr>
          <w:b/>
        </w:rPr>
        <w:t>2.4. İletim Hizmet Bedelinin Hesaplanması</w:t>
      </w:r>
    </w:p>
    <w:p w14:paraId="0DA6F26C" w14:textId="77777777" w:rsidR="00241852" w:rsidRPr="00E1598E" w:rsidRDefault="00241852" w:rsidP="00241852">
      <w:pPr>
        <w:jc w:val="both"/>
        <w:rPr>
          <w:b/>
        </w:rPr>
      </w:pPr>
    </w:p>
    <w:p w14:paraId="58AEC4EB" w14:textId="77777777" w:rsidR="00241852" w:rsidRPr="00E1598E" w:rsidRDefault="00241852" w:rsidP="00241852">
      <w:pPr>
        <w:jc w:val="both"/>
      </w:pPr>
      <w:r w:rsidRPr="00E1598E">
        <w:t>İlgi yıl için uygulanacak olan iletim hizmet bedeli (TL/Sm</w:t>
      </w:r>
      <w:r w:rsidRPr="00E1598E">
        <w:rPr>
          <w:vertAlign w:val="superscript"/>
        </w:rPr>
        <w:t>3</w:t>
      </w:r>
      <w:r w:rsidRPr="00E1598E">
        <w:t>) Eşitlik (3)’e göre belirlenir.</w:t>
      </w:r>
    </w:p>
    <w:p w14:paraId="43C5413D" w14:textId="77777777" w:rsidR="00241852" w:rsidRPr="00E1598E" w:rsidRDefault="00241852" w:rsidP="00241852">
      <w:pPr>
        <w:ind w:firstLine="720"/>
        <w:jc w:val="both"/>
      </w:pPr>
    </w:p>
    <w:p w14:paraId="0164A126" w14:textId="77777777" w:rsidR="00241852" w:rsidRPr="00E1598E" w:rsidRDefault="00241852" w:rsidP="00241852">
      <w:pPr>
        <w:tabs>
          <w:tab w:val="left" w:pos="8789"/>
        </w:tabs>
        <w:ind w:firstLine="720"/>
        <w:jc w:val="both"/>
      </w:pPr>
      <w:r w:rsidRPr="00E1598E">
        <w:rPr>
          <w:position w:val="-24"/>
        </w:rPr>
        <w:object w:dxaOrig="2400" w:dyaOrig="615" w14:anchorId="2307EC5E">
          <v:shape id="_x0000_i1027" type="#_x0000_t75" style="width:119.6pt;height:31.3pt" o:ole="">
            <v:imagedata r:id="rId12" o:title=""/>
          </v:shape>
          <o:OLEObject Type="Embed" ProgID="Equation.DSMT4" ShapeID="_x0000_i1027" DrawAspect="Content" ObjectID="_1828616017" r:id="rId13"/>
        </w:object>
      </w:r>
      <w:r w:rsidRPr="00E1598E">
        <w:tab/>
      </w:r>
      <w:r w:rsidRPr="00E1598E">
        <w:rPr>
          <w:b/>
        </w:rPr>
        <w:t>(3)</w:t>
      </w:r>
    </w:p>
    <w:p w14:paraId="0C86D612" w14:textId="77777777" w:rsidR="00241852" w:rsidRPr="00E1598E" w:rsidRDefault="00241852" w:rsidP="00241852">
      <w:pPr>
        <w:ind w:left="709"/>
        <w:contextualSpacing/>
        <w:jc w:val="both"/>
      </w:pPr>
    </w:p>
    <w:p w14:paraId="2BCF2AE9" w14:textId="77777777" w:rsidR="00241852" w:rsidRPr="00E1598E" w:rsidRDefault="00241852" w:rsidP="00241852">
      <w:pPr>
        <w:jc w:val="both"/>
      </w:pPr>
      <w:r w:rsidRPr="00E1598E">
        <w:t>Bu eşitlikte geçen;</w:t>
      </w:r>
    </w:p>
    <w:p w14:paraId="45ADFEBA" w14:textId="77777777" w:rsidR="00241852" w:rsidRPr="00E1598E" w:rsidRDefault="00241852" w:rsidP="00241852">
      <w:pPr>
        <w:ind w:left="709"/>
        <w:contextualSpacing/>
        <w:jc w:val="both"/>
      </w:pPr>
    </w:p>
    <w:p w14:paraId="3F12121B" w14:textId="77777777" w:rsidR="00241852" w:rsidRPr="00E1598E" w:rsidRDefault="00241852" w:rsidP="00241852">
      <w:pPr>
        <w:ind w:left="709"/>
        <w:contextualSpacing/>
        <w:jc w:val="both"/>
      </w:pPr>
      <w:r w:rsidRPr="00E1598E">
        <w:t>İHB</w:t>
      </w:r>
      <w:r w:rsidRPr="00E1598E">
        <w:tab/>
        <w:t>: İletim hizmet bedelini,</w:t>
      </w:r>
    </w:p>
    <w:p w14:paraId="334D6097" w14:textId="77777777" w:rsidR="00241852" w:rsidRPr="00E1598E" w:rsidRDefault="00241852" w:rsidP="00241852">
      <w:pPr>
        <w:ind w:left="709"/>
        <w:contextualSpacing/>
        <w:jc w:val="both"/>
      </w:pPr>
      <w:r w:rsidRPr="00E1598E">
        <w:t>HGT</w:t>
      </w:r>
      <w:r w:rsidRPr="00E1598E">
        <w:tab/>
        <w:t>: İletim hizmet bedeline tahsis edilen gelir tavanını (Gelir Tavanının %55’i),</w:t>
      </w:r>
    </w:p>
    <w:p w14:paraId="3A7F3EF9" w14:textId="77777777" w:rsidR="00241852" w:rsidRPr="00E1598E" w:rsidRDefault="00241852" w:rsidP="00241852">
      <w:pPr>
        <w:ind w:left="709"/>
        <w:contextualSpacing/>
        <w:jc w:val="both"/>
      </w:pPr>
      <w:r w:rsidRPr="00E1598E">
        <w:t>SHB</w:t>
      </w:r>
      <w:r w:rsidRPr="00E1598E">
        <w:tab/>
        <w:t xml:space="preserve">: Taşıtanlara standart sunulan hizmet karşılığı uygulanan bedeli, </w:t>
      </w:r>
    </w:p>
    <w:p w14:paraId="3E9FA030" w14:textId="77777777" w:rsidR="00241852" w:rsidRPr="00E1598E" w:rsidRDefault="00241852" w:rsidP="00241852">
      <w:pPr>
        <w:ind w:left="709"/>
        <w:contextualSpacing/>
        <w:jc w:val="both"/>
      </w:pPr>
      <w:r w:rsidRPr="00E1598E">
        <w:t>TS</w:t>
      </w:r>
      <w:r w:rsidRPr="00E1598E">
        <w:tab/>
        <w:t>: Bir önceki gaz yıl için STS imzalamış taşıtan sayısını,</w:t>
      </w:r>
    </w:p>
    <w:p w14:paraId="0CD12117" w14:textId="77777777" w:rsidR="00241852" w:rsidRPr="00E1598E" w:rsidRDefault="00241852" w:rsidP="00241852">
      <w:pPr>
        <w:ind w:left="709"/>
        <w:contextualSpacing/>
        <w:jc w:val="both"/>
        <w:rPr>
          <w:b/>
        </w:rPr>
      </w:pPr>
      <w:r w:rsidRPr="00E1598E">
        <w:t>TGA</w:t>
      </w:r>
      <w:r w:rsidRPr="00E1598E">
        <w:tab/>
        <w:t>:</w:t>
      </w:r>
      <w:r w:rsidRPr="00E1598E">
        <w:rPr>
          <w:b/>
        </w:rPr>
        <w:t xml:space="preserve"> </w:t>
      </w:r>
      <w:r w:rsidRPr="00E1598E">
        <w:t>Öngörülen toplam gaz akış miktarını (Sm</w:t>
      </w:r>
      <w:r w:rsidRPr="00E1598E">
        <w:rPr>
          <w:vertAlign w:val="superscript"/>
        </w:rPr>
        <w:t>3</w:t>
      </w:r>
      <w:r w:rsidRPr="00E1598E">
        <w:t>),</w:t>
      </w:r>
    </w:p>
    <w:p w14:paraId="4DEF260D" w14:textId="77777777" w:rsidR="00241852" w:rsidRPr="00E1598E" w:rsidRDefault="00241852" w:rsidP="00241852">
      <w:pPr>
        <w:ind w:left="709"/>
        <w:contextualSpacing/>
        <w:jc w:val="both"/>
      </w:pPr>
    </w:p>
    <w:p w14:paraId="6A93B17D" w14:textId="77777777" w:rsidR="00241852" w:rsidRPr="00E1598E" w:rsidRDefault="00241852" w:rsidP="00241852">
      <w:pPr>
        <w:jc w:val="both"/>
      </w:pPr>
      <w:r w:rsidRPr="00E1598E">
        <w:t>ifade eder.</w:t>
      </w:r>
    </w:p>
    <w:p w14:paraId="3F0CF069" w14:textId="77777777" w:rsidR="00241852" w:rsidRPr="00E1598E" w:rsidRDefault="00241852" w:rsidP="00241852">
      <w:pPr>
        <w:jc w:val="both"/>
      </w:pPr>
    </w:p>
    <w:p w14:paraId="6E6FCA7A" w14:textId="77777777" w:rsidR="00241852" w:rsidRPr="00E1598E" w:rsidRDefault="00241852" w:rsidP="00241852">
      <w:pPr>
        <w:jc w:val="both"/>
      </w:pPr>
      <w:r w:rsidRPr="00E1598E">
        <w:t>Taşıyıcı tarafından taşıtanlara standart olarak sunulan iletim hizmetleri karşılığında belli bir bedelin alınması gerekmekte olup, söz konusu bedel Eşitlik (4)’e göre hesaplanır. Yıllık olarak hesaplanan bu bedel, Standart Taşıma Sözleşmesi (STS) imzalanan taşıtanlar tarafından aylık eşit taksitler halinde ödenir.</w:t>
      </w:r>
    </w:p>
    <w:p w14:paraId="51B79E75" w14:textId="77777777" w:rsidR="00241852" w:rsidRPr="00E1598E" w:rsidRDefault="00241852" w:rsidP="00241852">
      <w:pPr>
        <w:jc w:val="both"/>
      </w:pPr>
    </w:p>
    <w:p w14:paraId="0C46DD54" w14:textId="77777777" w:rsidR="00241852" w:rsidRPr="00E1598E" w:rsidRDefault="00241852" w:rsidP="00241852">
      <w:pPr>
        <w:tabs>
          <w:tab w:val="left" w:pos="8789"/>
        </w:tabs>
        <w:ind w:firstLine="720"/>
        <w:jc w:val="both"/>
        <w:rPr>
          <w:b/>
        </w:rPr>
      </w:pPr>
      <w:r w:rsidRPr="00E1598E">
        <w:rPr>
          <w:position w:val="-24"/>
        </w:rPr>
        <w:object w:dxaOrig="2175" w:dyaOrig="615" w14:anchorId="14C97010">
          <v:shape id="_x0000_i1028" type="#_x0000_t75" style="width:108.95pt;height:31.3pt" o:ole="">
            <v:imagedata r:id="rId14" o:title=""/>
          </v:shape>
          <o:OLEObject Type="Embed" ProgID="Equation.DSMT4" ShapeID="_x0000_i1028" DrawAspect="Content" ObjectID="_1828616018" r:id="rId15"/>
        </w:object>
      </w:r>
      <w:r w:rsidRPr="00E1598E">
        <w:tab/>
      </w:r>
      <w:r w:rsidRPr="00E1598E">
        <w:rPr>
          <w:b/>
        </w:rPr>
        <w:t>(4)</w:t>
      </w:r>
    </w:p>
    <w:p w14:paraId="15A5856F" w14:textId="77777777" w:rsidR="00241852" w:rsidRPr="00E1598E" w:rsidRDefault="00241852" w:rsidP="00241852">
      <w:pPr>
        <w:jc w:val="both"/>
      </w:pPr>
    </w:p>
    <w:p w14:paraId="09FCA35B" w14:textId="77777777" w:rsidR="00241852" w:rsidRPr="00E1598E" w:rsidRDefault="00241852" w:rsidP="00241852">
      <w:pPr>
        <w:ind w:left="709"/>
        <w:contextualSpacing/>
        <w:jc w:val="both"/>
      </w:pPr>
      <w:r w:rsidRPr="00E1598E">
        <w:t>Bu eşitlikte geçen;</w:t>
      </w:r>
    </w:p>
    <w:p w14:paraId="3C139E18" w14:textId="77777777" w:rsidR="00241852" w:rsidRPr="00E1598E" w:rsidRDefault="00241852" w:rsidP="00241852">
      <w:pPr>
        <w:ind w:left="709"/>
        <w:contextualSpacing/>
        <w:jc w:val="both"/>
      </w:pPr>
    </w:p>
    <w:p w14:paraId="57A4D5DC" w14:textId="77777777" w:rsidR="00241852" w:rsidRPr="00E1598E" w:rsidRDefault="00241852" w:rsidP="00241852">
      <w:pPr>
        <w:ind w:left="709"/>
        <w:contextualSpacing/>
        <w:jc w:val="both"/>
      </w:pPr>
      <w:r w:rsidRPr="00E1598E">
        <w:t>SHB</w:t>
      </w:r>
      <w:r w:rsidRPr="00E1598E">
        <w:tab/>
        <w:t xml:space="preserve">: Standart hizmet bedelini, </w:t>
      </w:r>
    </w:p>
    <w:p w14:paraId="69AD3C46" w14:textId="77777777" w:rsidR="00241852" w:rsidRPr="00E1598E" w:rsidRDefault="00241852" w:rsidP="00241852">
      <w:pPr>
        <w:ind w:left="709"/>
        <w:contextualSpacing/>
        <w:jc w:val="both"/>
      </w:pPr>
      <w:r w:rsidRPr="00E1598E">
        <w:t>HGT</w:t>
      </w:r>
      <w:r w:rsidRPr="00E1598E">
        <w:tab/>
        <w:t>:</w:t>
      </w:r>
      <w:r w:rsidRPr="00E1598E">
        <w:rPr>
          <w:b/>
        </w:rPr>
        <w:t xml:space="preserve"> </w:t>
      </w:r>
      <w:r w:rsidRPr="00E1598E">
        <w:t>İletim hizmet bedeline tahsis edilen gelir tavanını (Gelir Tavanının %55’i),</w:t>
      </w:r>
    </w:p>
    <w:p w14:paraId="35EE4417" w14:textId="77777777" w:rsidR="00241852" w:rsidRPr="00E1598E" w:rsidRDefault="00241852" w:rsidP="00241852">
      <w:pPr>
        <w:ind w:left="709"/>
        <w:contextualSpacing/>
        <w:jc w:val="both"/>
        <w:rPr>
          <w:b/>
        </w:rPr>
      </w:pPr>
      <w:r w:rsidRPr="00E1598E">
        <w:t>TS</w:t>
      </w:r>
      <w:r w:rsidRPr="00E1598E">
        <w:tab/>
        <w:t xml:space="preserve">: Bir önceki gaz yıl için STS imzalamış taşıtan sayısını, </w:t>
      </w:r>
    </w:p>
    <w:p w14:paraId="10B6E719" w14:textId="77777777" w:rsidR="00241852" w:rsidRPr="00E1598E" w:rsidRDefault="00241852" w:rsidP="00241852">
      <w:pPr>
        <w:ind w:left="709"/>
        <w:contextualSpacing/>
        <w:jc w:val="both"/>
      </w:pPr>
    </w:p>
    <w:p w14:paraId="53CC5B29" w14:textId="77777777" w:rsidR="00241852" w:rsidRPr="00E1598E" w:rsidRDefault="00241852" w:rsidP="00241852">
      <w:pPr>
        <w:jc w:val="both"/>
      </w:pPr>
      <w:r w:rsidRPr="00E1598E">
        <w:t>ifade eder.</w:t>
      </w:r>
    </w:p>
    <w:p w14:paraId="61D20CC2" w14:textId="77777777" w:rsidR="00241852" w:rsidRPr="00E1598E" w:rsidRDefault="00241852" w:rsidP="00241852">
      <w:pPr>
        <w:ind w:firstLine="720"/>
        <w:jc w:val="both"/>
      </w:pPr>
    </w:p>
    <w:p w14:paraId="524058A6" w14:textId="77777777" w:rsidR="00241852" w:rsidRPr="00E1598E" w:rsidRDefault="00241852" w:rsidP="00241852">
      <w:pPr>
        <w:jc w:val="both"/>
      </w:pPr>
      <w:r w:rsidRPr="00E1598E">
        <w:t xml:space="preserve">Yeraltı depolama tesisleri giriş noktalarında </w:t>
      </w:r>
      <w:r w:rsidRPr="00E1598E">
        <w:rPr>
          <w:b/>
        </w:rPr>
        <w:t>iletim hizmet bedeli</w:t>
      </w:r>
      <w:r w:rsidRPr="00E1598E">
        <w:t>nin %10’u uygulanır.</w:t>
      </w:r>
    </w:p>
    <w:p w14:paraId="0995C0E9" w14:textId="77777777" w:rsidR="00241852" w:rsidRPr="00E1598E" w:rsidRDefault="00241852" w:rsidP="00241852">
      <w:pPr>
        <w:ind w:firstLine="720"/>
        <w:jc w:val="both"/>
      </w:pPr>
    </w:p>
    <w:p w14:paraId="51164DA3" w14:textId="77777777" w:rsidR="00241852" w:rsidRPr="00E1598E" w:rsidRDefault="00241852" w:rsidP="00241852">
      <w:pPr>
        <w:jc w:val="both"/>
        <w:rPr>
          <w:b/>
        </w:rPr>
      </w:pPr>
      <w:r w:rsidRPr="00E1598E">
        <w:rPr>
          <w:b/>
        </w:rPr>
        <w:t>2.5. Kapasite Aşım Ücretinin Hesaplanması</w:t>
      </w:r>
    </w:p>
    <w:p w14:paraId="5FAD3962" w14:textId="77777777" w:rsidR="00241852" w:rsidRPr="00E1598E" w:rsidRDefault="00241852" w:rsidP="00241852">
      <w:pPr>
        <w:ind w:firstLine="720"/>
        <w:jc w:val="both"/>
      </w:pPr>
    </w:p>
    <w:p w14:paraId="137F5645" w14:textId="77777777" w:rsidR="00241852" w:rsidRPr="00E1598E" w:rsidRDefault="00241852" w:rsidP="00241852">
      <w:pPr>
        <w:jc w:val="both"/>
      </w:pPr>
      <w:r w:rsidRPr="00E1598E">
        <w:t xml:space="preserve">Kapasite aşım ücreti, her bir giriş noktası ve çıkış noktası bazında olmak üzere, rezerve kapasitenin aşıldığı her gün için ilgili noktaya ait kapasite bedelinin ŞİD’in 2.8.2. maddesinde tanımlanmış dönem </w:t>
      </w:r>
      <w:r w:rsidRPr="00E1598E">
        <w:lastRenderedPageBreak/>
        <w:t>katsayıları ile çarpılması suretiyle hesaplanır ve rezerve kapasitenin aşıldığı miktar için ilgili Taşıtana tahakkuk ettirilir.</w:t>
      </w:r>
    </w:p>
    <w:p w14:paraId="171D5D9A" w14:textId="77777777" w:rsidR="00241852" w:rsidRPr="00E1598E" w:rsidRDefault="00241852" w:rsidP="00241852">
      <w:pPr>
        <w:ind w:firstLine="720"/>
        <w:jc w:val="both"/>
      </w:pPr>
    </w:p>
    <w:p w14:paraId="5C9C89D3" w14:textId="77777777" w:rsidR="00241852" w:rsidRPr="00E1598E" w:rsidRDefault="00241852" w:rsidP="00241852">
      <w:pPr>
        <w:jc w:val="both"/>
        <w:rPr>
          <w:b/>
        </w:rPr>
      </w:pPr>
      <w:r w:rsidRPr="00E1598E">
        <w:rPr>
          <w:b/>
        </w:rPr>
        <w:t xml:space="preserve">3. SEVKİYAT KONTROL TARİFELERİ </w:t>
      </w:r>
    </w:p>
    <w:p w14:paraId="7C605C49" w14:textId="77777777" w:rsidR="00241852" w:rsidRPr="00E1598E" w:rsidRDefault="00241852" w:rsidP="00241852">
      <w:pPr>
        <w:ind w:firstLine="720"/>
        <w:jc w:val="both"/>
      </w:pPr>
    </w:p>
    <w:p w14:paraId="17C1474C" w14:textId="77777777" w:rsidR="00241852" w:rsidRPr="00E1598E" w:rsidRDefault="00241852" w:rsidP="00241852">
      <w:pPr>
        <w:jc w:val="both"/>
      </w:pPr>
      <w:r w:rsidRPr="00E1598E">
        <w:t>Sevkiyat kontrol tarifeleri kapsamındaki bedeller; sistem dengelemesine katılım bedeli, kesinti dengeleme bedeli, hizmet kesinti bedeli ve basınç kaybı bedelinden oluşur.</w:t>
      </w:r>
    </w:p>
    <w:p w14:paraId="6CD8DBF0" w14:textId="77777777" w:rsidR="00241852" w:rsidRPr="00E1598E" w:rsidRDefault="00241852" w:rsidP="00241852">
      <w:pPr>
        <w:ind w:firstLine="284"/>
        <w:jc w:val="both"/>
      </w:pPr>
    </w:p>
    <w:p w14:paraId="567A8245" w14:textId="77777777" w:rsidR="00241852" w:rsidRPr="00E1598E" w:rsidRDefault="00241852" w:rsidP="00241852">
      <w:pPr>
        <w:jc w:val="both"/>
        <w:rPr>
          <w:b/>
        </w:rPr>
      </w:pPr>
      <w:r w:rsidRPr="00E1598E">
        <w:rPr>
          <w:b/>
        </w:rPr>
        <w:t>3.1. Sistem Dengelemesine Katılım Bedeli</w:t>
      </w:r>
    </w:p>
    <w:p w14:paraId="34E4631D" w14:textId="77777777" w:rsidR="00241852" w:rsidRPr="00E1598E" w:rsidRDefault="00241852" w:rsidP="00241852">
      <w:pPr>
        <w:ind w:firstLine="708"/>
        <w:jc w:val="both"/>
      </w:pPr>
    </w:p>
    <w:p w14:paraId="38BB2567" w14:textId="77777777" w:rsidR="00241852" w:rsidRPr="00E1598E" w:rsidRDefault="00241852" w:rsidP="00241852">
      <w:pPr>
        <w:jc w:val="both"/>
      </w:pPr>
      <w:r w:rsidRPr="00E1598E">
        <w:t>Sistem dengelemesine katılım bedeli, günlük dengesizlik ücretleri ile düzenleme ve Taşıma Miktar Değişiklik Bildirimi (TMDB) ücretlerini kapsar.</w:t>
      </w:r>
    </w:p>
    <w:p w14:paraId="7E96C066" w14:textId="77777777" w:rsidR="00241852" w:rsidRPr="00E1598E" w:rsidRDefault="00241852" w:rsidP="00241852">
      <w:pPr>
        <w:ind w:firstLine="284"/>
        <w:jc w:val="both"/>
      </w:pPr>
    </w:p>
    <w:p w14:paraId="785FFD0A" w14:textId="77777777" w:rsidR="00241852" w:rsidRPr="00E1598E" w:rsidRDefault="00241852" w:rsidP="00241852">
      <w:pPr>
        <w:jc w:val="both"/>
        <w:rPr>
          <w:b/>
        </w:rPr>
      </w:pPr>
      <w:r w:rsidRPr="00E1598E">
        <w:rPr>
          <w:b/>
        </w:rPr>
        <w:t>3.1.1. Günlük Dengesizlik Ücretleri</w:t>
      </w:r>
    </w:p>
    <w:p w14:paraId="157B6FBB" w14:textId="77777777" w:rsidR="00241852" w:rsidRPr="00E1598E" w:rsidRDefault="00241852" w:rsidP="00241852">
      <w:pPr>
        <w:ind w:firstLine="284"/>
        <w:jc w:val="both"/>
        <w:rPr>
          <w:b/>
        </w:rPr>
      </w:pPr>
    </w:p>
    <w:p w14:paraId="3B7A1F97" w14:textId="77777777" w:rsidR="00241852" w:rsidRPr="00E1598E" w:rsidRDefault="00241852" w:rsidP="00241852">
      <w:pPr>
        <w:jc w:val="both"/>
      </w:pPr>
      <w:r w:rsidRPr="00E1598E">
        <w:t>Günlük dengesizlik ücretleri ŞİD hükümleri uyarınca hesaplanacaktır.</w:t>
      </w:r>
    </w:p>
    <w:p w14:paraId="571AC8B5" w14:textId="77777777" w:rsidR="00241852" w:rsidRPr="00E1598E" w:rsidRDefault="00241852" w:rsidP="00241852">
      <w:pPr>
        <w:ind w:firstLine="284"/>
        <w:jc w:val="both"/>
        <w:rPr>
          <w:b/>
        </w:rPr>
      </w:pPr>
    </w:p>
    <w:p w14:paraId="3992B453" w14:textId="77777777" w:rsidR="00241852" w:rsidRPr="00E1598E" w:rsidRDefault="00241852" w:rsidP="00241852">
      <w:pPr>
        <w:jc w:val="both"/>
        <w:rPr>
          <w:b/>
        </w:rPr>
      </w:pPr>
      <w:r w:rsidRPr="00E1598E">
        <w:rPr>
          <w:b/>
        </w:rPr>
        <w:t>3.1.2. Düzenleme Ücreti</w:t>
      </w:r>
    </w:p>
    <w:p w14:paraId="4C1CB58F" w14:textId="77777777" w:rsidR="00241852" w:rsidRPr="00E1598E" w:rsidRDefault="00241852" w:rsidP="00241852">
      <w:pPr>
        <w:ind w:firstLine="720"/>
        <w:jc w:val="both"/>
      </w:pPr>
    </w:p>
    <w:p w14:paraId="046E0DE3" w14:textId="77777777" w:rsidR="00241852" w:rsidRPr="00E1598E" w:rsidRDefault="00241852" w:rsidP="00241852">
      <w:pPr>
        <w:jc w:val="both"/>
      </w:pPr>
      <w:r w:rsidRPr="00E1598E">
        <w:t>Düzenleme ücreti, ilgili giriş ve çıkış noktaları için, ilgili günde programda belirtilen giriş ve çıkış miktarları ile gerçekleşen miktarlar arasındaki farkın, ŞİD'de yer alan düzenlenmiş tolerans miktarlarını aşan miktarları için taşıtanlar tarafından ödenecek bedel olup, Eşitlik (5)’e göre hesaplanır.</w:t>
      </w:r>
    </w:p>
    <w:p w14:paraId="0D177644" w14:textId="77777777" w:rsidR="00241852" w:rsidRPr="00E1598E" w:rsidRDefault="00241852" w:rsidP="00241852">
      <w:pPr>
        <w:ind w:firstLine="720"/>
        <w:jc w:val="both"/>
      </w:pPr>
    </w:p>
    <w:p w14:paraId="5820B60A" w14:textId="77777777" w:rsidR="00241852" w:rsidRPr="00E1598E" w:rsidRDefault="00241852" w:rsidP="00241852">
      <w:pPr>
        <w:tabs>
          <w:tab w:val="left" w:pos="8789"/>
        </w:tabs>
        <w:ind w:firstLine="720"/>
        <w:jc w:val="both"/>
      </w:pPr>
      <w:r w:rsidRPr="00E1598E">
        <w:rPr>
          <w:rFonts w:eastAsia="Calibri"/>
          <w:szCs w:val="20"/>
        </w:rPr>
        <w:t>DÜ = TMMD x İHB x 0,20</w:t>
      </w:r>
      <w:r w:rsidRPr="00E1598E">
        <w:tab/>
      </w:r>
      <w:r w:rsidRPr="00E1598E">
        <w:rPr>
          <w:b/>
        </w:rPr>
        <w:t>(5)</w:t>
      </w:r>
    </w:p>
    <w:p w14:paraId="79F48555" w14:textId="77777777" w:rsidR="00241852" w:rsidRPr="00E1598E" w:rsidRDefault="00241852" w:rsidP="00241852">
      <w:pPr>
        <w:jc w:val="both"/>
      </w:pPr>
    </w:p>
    <w:p w14:paraId="34ABF6B4" w14:textId="77777777" w:rsidR="00241852" w:rsidRPr="00E1598E" w:rsidRDefault="00241852" w:rsidP="00241852">
      <w:pPr>
        <w:ind w:firstLine="709"/>
        <w:jc w:val="both"/>
      </w:pPr>
      <w:r w:rsidRPr="00E1598E">
        <w:t>Bu eşitlikte geçen;</w:t>
      </w:r>
    </w:p>
    <w:p w14:paraId="442435BA" w14:textId="77777777" w:rsidR="00241852" w:rsidRPr="00E1598E" w:rsidRDefault="00241852" w:rsidP="00241852">
      <w:pPr>
        <w:ind w:firstLine="709"/>
        <w:jc w:val="both"/>
      </w:pPr>
    </w:p>
    <w:p w14:paraId="3C2DEE59" w14:textId="77777777" w:rsidR="00241852" w:rsidRPr="00E1598E" w:rsidRDefault="00241852" w:rsidP="00241852">
      <w:pPr>
        <w:tabs>
          <w:tab w:val="left" w:pos="1843"/>
        </w:tabs>
        <w:ind w:firstLine="709"/>
        <w:jc w:val="both"/>
      </w:pPr>
      <w:r w:rsidRPr="00E1598E">
        <w:t>DÜ</w:t>
      </w:r>
      <w:r w:rsidRPr="00E1598E">
        <w:tab/>
        <w:t>: Düzenleme ücretini,</w:t>
      </w:r>
    </w:p>
    <w:p w14:paraId="491D94A3" w14:textId="77777777" w:rsidR="00241852" w:rsidRPr="00E1598E" w:rsidRDefault="00241852" w:rsidP="00241852">
      <w:pPr>
        <w:tabs>
          <w:tab w:val="left" w:pos="1843"/>
        </w:tabs>
        <w:ind w:left="1985" w:hanging="1276"/>
        <w:contextualSpacing/>
        <w:jc w:val="both"/>
      </w:pPr>
      <w:r w:rsidRPr="00E1598E">
        <w:t>TMMD</w:t>
      </w:r>
      <w:r w:rsidRPr="00E1598E">
        <w:tab/>
        <w:t xml:space="preserve">: Giriş ve çıkış noktalarında oluşan düzenlenmiş tolerans miktarını aşan kısmın mutlak değerini, </w:t>
      </w:r>
    </w:p>
    <w:p w14:paraId="0EDC15EC" w14:textId="77777777" w:rsidR="00241852" w:rsidRPr="00E1598E" w:rsidRDefault="00241852" w:rsidP="00241852">
      <w:pPr>
        <w:tabs>
          <w:tab w:val="left" w:pos="1843"/>
        </w:tabs>
        <w:ind w:firstLine="709"/>
        <w:jc w:val="both"/>
      </w:pPr>
      <w:r w:rsidRPr="00E1598E">
        <w:t>İHB</w:t>
      </w:r>
      <w:r w:rsidRPr="00E1598E">
        <w:tab/>
        <w:t>: İlgili yıl için Bölüm 2.4. çerçevesinde hesaplanan bedeli,</w:t>
      </w:r>
    </w:p>
    <w:p w14:paraId="2C41B702" w14:textId="77777777" w:rsidR="00241852" w:rsidRPr="00E1598E" w:rsidRDefault="00241852" w:rsidP="00241852">
      <w:pPr>
        <w:jc w:val="both"/>
      </w:pPr>
    </w:p>
    <w:p w14:paraId="70168B02" w14:textId="77777777" w:rsidR="00241852" w:rsidRPr="00E1598E" w:rsidRDefault="00241852" w:rsidP="00241852">
      <w:pPr>
        <w:jc w:val="both"/>
      </w:pPr>
      <w:r w:rsidRPr="00E1598E">
        <w:t>ifade eder.</w:t>
      </w:r>
    </w:p>
    <w:p w14:paraId="2BDFD047" w14:textId="77777777" w:rsidR="00241852" w:rsidRPr="00E1598E" w:rsidRDefault="00241852" w:rsidP="00241852">
      <w:pPr>
        <w:jc w:val="both"/>
        <w:rPr>
          <w:rFonts w:eastAsia="Calibri"/>
          <w:b/>
          <w:szCs w:val="20"/>
        </w:rPr>
      </w:pPr>
      <w:r w:rsidRPr="00E1598E">
        <w:br w:type="page"/>
      </w:r>
      <w:r w:rsidRPr="00E1598E">
        <w:rPr>
          <w:rFonts w:eastAsia="Calibri"/>
          <w:b/>
          <w:szCs w:val="20"/>
        </w:rPr>
        <w:lastRenderedPageBreak/>
        <w:t>3.1.3. TMDB Ücreti</w:t>
      </w:r>
    </w:p>
    <w:p w14:paraId="4445F3B5" w14:textId="77777777" w:rsidR="00241852" w:rsidRPr="00E1598E" w:rsidRDefault="00241852" w:rsidP="00241852">
      <w:pPr>
        <w:jc w:val="both"/>
        <w:rPr>
          <w:rFonts w:eastAsia="Calibri"/>
          <w:b/>
          <w:sz w:val="20"/>
          <w:szCs w:val="20"/>
        </w:rPr>
      </w:pPr>
    </w:p>
    <w:p w14:paraId="4AA33E45" w14:textId="77777777" w:rsidR="00241852" w:rsidRPr="00E1598E" w:rsidRDefault="00241852" w:rsidP="00241852">
      <w:pPr>
        <w:jc w:val="both"/>
        <w:rPr>
          <w:rFonts w:eastAsia="Calibri"/>
          <w:szCs w:val="20"/>
        </w:rPr>
      </w:pPr>
      <w:r w:rsidRPr="00E1598E">
        <w:rPr>
          <w:rFonts w:eastAsia="Calibri"/>
          <w:szCs w:val="20"/>
        </w:rPr>
        <w:t>TMDB ücreti, ilgili giriş ve çıkış noktaları için, ilgili günde TMB’de belirtilen miktar ile TMDB’de belirtilen miktar arasındaki farkın, ŞİD'de yer alan kullanılmayan düzenlenmiş tolerans miktarlarını aşan miktarları için taşıtanlar tarafından ödenecek bedel olup, Eşitlik (6)’ya göre hesaplanır.</w:t>
      </w:r>
    </w:p>
    <w:p w14:paraId="7398BCE6" w14:textId="77777777" w:rsidR="00241852" w:rsidRPr="00E1598E" w:rsidRDefault="00241852" w:rsidP="00241852">
      <w:pPr>
        <w:jc w:val="both"/>
        <w:rPr>
          <w:rFonts w:eastAsia="Calibri"/>
          <w:szCs w:val="20"/>
        </w:rPr>
      </w:pPr>
    </w:p>
    <w:p w14:paraId="4593A99B" w14:textId="77777777" w:rsidR="00241852" w:rsidRPr="00E1598E" w:rsidRDefault="00241852" w:rsidP="00241852">
      <w:pPr>
        <w:tabs>
          <w:tab w:val="left" w:pos="8789"/>
        </w:tabs>
        <w:ind w:firstLine="720"/>
        <w:jc w:val="both"/>
        <w:rPr>
          <w:rFonts w:eastAsia="Calibri"/>
          <w:b/>
          <w:szCs w:val="20"/>
        </w:rPr>
      </w:pPr>
      <w:r w:rsidRPr="00E1598E">
        <w:rPr>
          <w:rFonts w:eastAsia="Calibri"/>
          <w:szCs w:val="20"/>
        </w:rPr>
        <w:t>TMDBÜ = TMBMD x İHB x 0,10</w:t>
      </w:r>
      <w:r w:rsidRPr="00E1598E">
        <w:rPr>
          <w:rFonts w:eastAsia="Calibri"/>
          <w:szCs w:val="20"/>
        </w:rPr>
        <w:tab/>
      </w:r>
      <w:r w:rsidRPr="00E1598E">
        <w:rPr>
          <w:rFonts w:eastAsia="Calibri"/>
          <w:b/>
          <w:szCs w:val="20"/>
        </w:rPr>
        <w:t>(6)</w:t>
      </w:r>
    </w:p>
    <w:p w14:paraId="4CDE886F" w14:textId="77777777" w:rsidR="00241852" w:rsidRPr="00E1598E" w:rsidRDefault="00241852" w:rsidP="00241852">
      <w:pPr>
        <w:jc w:val="both"/>
        <w:rPr>
          <w:rFonts w:eastAsia="Calibri"/>
          <w:szCs w:val="20"/>
        </w:rPr>
      </w:pPr>
    </w:p>
    <w:p w14:paraId="1024DE19" w14:textId="77777777" w:rsidR="00241852" w:rsidRPr="00E1598E" w:rsidRDefault="00241852" w:rsidP="00241852">
      <w:pPr>
        <w:jc w:val="both"/>
        <w:rPr>
          <w:rFonts w:eastAsia="Calibri"/>
          <w:szCs w:val="20"/>
        </w:rPr>
      </w:pPr>
      <w:r w:rsidRPr="00E1598E">
        <w:rPr>
          <w:rFonts w:eastAsia="Calibri"/>
          <w:szCs w:val="20"/>
        </w:rPr>
        <w:t>Bu eşitlikte geçen;</w:t>
      </w:r>
    </w:p>
    <w:p w14:paraId="71691B67" w14:textId="77777777" w:rsidR="00241852" w:rsidRPr="00E1598E" w:rsidRDefault="00241852" w:rsidP="00241852">
      <w:pPr>
        <w:jc w:val="both"/>
        <w:rPr>
          <w:rFonts w:eastAsia="Calibri"/>
          <w:szCs w:val="20"/>
        </w:rPr>
      </w:pPr>
    </w:p>
    <w:p w14:paraId="684D32B4" w14:textId="77777777" w:rsidR="00241852" w:rsidRPr="00E1598E" w:rsidRDefault="00241852" w:rsidP="00241852">
      <w:pPr>
        <w:tabs>
          <w:tab w:val="left" w:pos="1843"/>
        </w:tabs>
        <w:ind w:firstLine="709"/>
        <w:jc w:val="both"/>
      </w:pPr>
      <w:r w:rsidRPr="00E1598E">
        <w:t>TMDBÜ</w:t>
      </w:r>
      <w:r w:rsidRPr="00E1598E">
        <w:tab/>
        <w:t>: TMDB ücretini</w:t>
      </w:r>
    </w:p>
    <w:p w14:paraId="749F1FFE" w14:textId="77777777" w:rsidR="00241852" w:rsidRPr="00E1598E" w:rsidRDefault="00241852" w:rsidP="00241852">
      <w:pPr>
        <w:tabs>
          <w:tab w:val="left" w:pos="1843"/>
        </w:tabs>
        <w:ind w:left="1985" w:hanging="1276"/>
        <w:contextualSpacing/>
        <w:jc w:val="both"/>
      </w:pPr>
      <w:r w:rsidRPr="00E1598E">
        <w:t>TMBMD</w:t>
      </w:r>
      <w:r w:rsidRPr="00E1598E">
        <w:tab/>
        <w:t>: İlgili günde, ilgili noktadaki TMB ve TMDB miktarları arasındaki farkın düzenleme ücreti hesaplamasında ilgili nokta için kullanılmayan düzenlenmiş tolerans miktarını aşan kısmının mutlak değerini,</w:t>
      </w:r>
    </w:p>
    <w:p w14:paraId="179B561A" w14:textId="77777777" w:rsidR="00241852" w:rsidRPr="00E1598E" w:rsidRDefault="00241852" w:rsidP="00241852">
      <w:pPr>
        <w:tabs>
          <w:tab w:val="left" w:pos="1843"/>
        </w:tabs>
        <w:ind w:left="1985" w:hanging="1276"/>
        <w:contextualSpacing/>
        <w:jc w:val="both"/>
        <w:rPr>
          <w:rFonts w:eastAsia="Calibri"/>
          <w:szCs w:val="20"/>
        </w:rPr>
      </w:pPr>
      <w:r w:rsidRPr="00E1598E">
        <w:rPr>
          <w:rFonts w:eastAsia="Calibri"/>
          <w:szCs w:val="20"/>
        </w:rPr>
        <w:t>İHB</w:t>
      </w:r>
      <w:r w:rsidRPr="00E1598E">
        <w:rPr>
          <w:rFonts w:eastAsia="Calibri"/>
          <w:szCs w:val="20"/>
        </w:rPr>
        <w:tab/>
        <w:t xml:space="preserve">: İlgili yıl için Bölüm 2.4. çerçevesinde hesaplanan bedeli </w:t>
      </w:r>
    </w:p>
    <w:p w14:paraId="3D42DC9E" w14:textId="77777777" w:rsidR="00241852" w:rsidRPr="00E1598E" w:rsidRDefault="00241852" w:rsidP="00241852">
      <w:pPr>
        <w:pStyle w:val="NormalWeb"/>
        <w:widowControl w:val="0"/>
        <w:contextualSpacing/>
        <w:jc w:val="both"/>
        <w:rPr>
          <w:rFonts w:eastAsia="Calibri"/>
        </w:rPr>
      </w:pPr>
    </w:p>
    <w:p w14:paraId="49166394" w14:textId="77777777" w:rsidR="00241852" w:rsidRPr="00E1598E" w:rsidRDefault="00241852" w:rsidP="00241852">
      <w:pPr>
        <w:pStyle w:val="NormalWeb"/>
        <w:widowControl w:val="0"/>
        <w:contextualSpacing/>
        <w:jc w:val="both"/>
        <w:rPr>
          <w:sz w:val="32"/>
          <w:szCs w:val="24"/>
        </w:rPr>
      </w:pPr>
      <w:r w:rsidRPr="00E1598E">
        <w:rPr>
          <w:rFonts w:eastAsia="Calibri"/>
        </w:rPr>
        <w:t>ifade eder.</w:t>
      </w:r>
    </w:p>
    <w:p w14:paraId="7AF6F7DC" w14:textId="77777777" w:rsidR="00241852" w:rsidRPr="00E1598E" w:rsidRDefault="00241852" w:rsidP="00241852">
      <w:pPr>
        <w:jc w:val="both"/>
      </w:pPr>
    </w:p>
    <w:p w14:paraId="6F8F9D9E" w14:textId="77777777" w:rsidR="00241852" w:rsidRPr="00E1598E" w:rsidRDefault="00241852" w:rsidP="00241852">
      <w:pPr>
        <w:jc w:val="both"/>
        <w:rPr>
          <w:b/>
        </w:rPr>
      </w:pPr>
      <w:r w:rsidRPr="00E1598E">
        <w:rPr>
          <w:b/>
        </w:rPr>
        <w:t>3.1.4. Hizmet Kesintisi Bedeli</w:t>
      </w:r>
    </w:p>
    <w:p w14:paraId="739EA969" w14:textId="77777777" w:rsidR="00241852" w:rsidRPr="00E1598E" w:rsidRDefault="00241852" w:rsidP="00241852">
      <w:pPr>
        <w:ind w:firstLine="284"/>
        <w:jc w:val="both"/>
        <w:rPr>
          <w:sz w:val="22"/>
          <w:szCs w:val="22"/>
        </w:rPr>
      </w:pPr>
    </w:p>
    <w:p w14:paraId="28D61A75" w14:textId="77777777" w:rsidR="00241852" w:rsidRPr="00E1598E" w:rsidRDefault="00241852" w:rsidP="00241852">
      <w:pPr>
        <w:jc w:val="both"/>
      </w:pPr>
      <w:r w:rsidRPr="00E1598E">
        <w:t xml:space="preserve">Taşıtanın ŞİD'e uygun davranması koşuluyla, taşıyıcının işletme hatası sonucunda sistem dengesinin bozulması ve kesintiye yol açılması durumunda, taşıyıcı tarafından kesinti veya azaltmaya uğrayan taşıtanlara ödenen ve ŞİD'de düzenlenen tutarın hesaplanmasına esas hizmet kesintisi bedeli Eşitlik (7)’ye göre hesaplanır. </w:t>
      </w:r>
    </w:p>
    <w:p w14:paraId="38C1B0FA" w14:textId="77777777" w:rsidR="00241852" w:rsidRPr="00E1598E" w:rsidRDefault="00241852" w:rsidP="00241852">
      <w:pPr>
        <w:jc w:val="both"/>
      </w:pPr>
    </w:p>
    <w:p w14:paraId="79AF42AE" w14:textId="77777777" w:rsidR="00241852" w:rsidRPr="00E1598E" w:rsidRDefault="00241852" w:rsidP="00241852">
      <w:pPr>
        <w:tabs>
          <w:tab w:val="left" w:pos="8789"/>
        </w:tabs>
        <w:ind w:firstLine="709"/>
        <w:jc w:val="both"/>
      </w:pPr>
      <w:r w:rsidRPr="00E1598E">
        <w:rPr>
          <w:position w:val="-4"/>
        </w:rPr>
        <w:object w:dxaOrig="1515" w:dyaOrig="285" w14:anchorId="0EDCC937">
          <v:shape id="_x0000_i1029" type="#_x0000_t75" style="width:75.75pt;height:14.4pt" o:ole="">
            <v:imagedata r:id="rId16" o:title=""/>
          </v:shape>
          <o:OLEObject Type="Embed" ProgID="Equation.DSMT4" ShapeID="_x0000_i1029" DrawAspect="Content" ObjectID="_1828616019" r:id="rId17"/>
        </w:object>
      </w:r>
      <w:r w:rsidRPr="00E1598E">
        <w:tab/>
      </w:r>
      <w:r w:rsidRPr="00E1598E">
        <w:rPr>
          <w:b/>
        </w:rPr>
        <w:t>(7)</w:t>
      </w:r>
    </w:p>
    <w:p w14:paraId="539E0193" w14:textId="77777777" w:rsidR="00241852" w:rsidRPr="00E1598E" w:rsidRDefault="00241852" w:rsidP="00241852">
      <w:pPr>
        <w:jc w:val="both"/>
      </w:pPr>
    </w:p>
    <w:p w14:paraId="6FAF41AF" w14:textId="77777777" w:rsidR="00241852" w:rsidRPr="00E1598E" w:rsidRDefault="00241852" w:rsidP="00241852">
      <w:pPr>
        <w:jc w:val="both"/>
      </w:pPr>
      <w:r w:rsidRPr="00E1598E">
        <w:t>Bu eşitlikte geçen;</w:t>
      </w:r>
    </w:p>
    <w:p w14:paraId="3177DC3F" w14:textId="77777777" w:rsidR="00241852" w:rsidRPr="00E1598E" w:rsidRDefault="00241852" w:rsidP="00241852">
      <w:pPr>
        <w:ind w:firstLine="709"/>
        <w:jc w:val="both"/>
      </w:pPr>
    </w:p>
    <w:p w14:paraId="5E493886" w14:textId="77777777" w:rsidR="00241852" w:rsidRPr="00E1598E" w:rsidRDefault="00241852" w:rsidP="00241852">
      <w:pPr>
        <w:ind w:firstLine="709"/>
        <w:jc w:val="both"/>
      </w:pPr>
      <w:r w:rsidRPr="00E1598E">
        <w:t>HKB</w:t>
      </w:r>
      <w:r w:rsidRPr="00E1598E">
        <w:tab/>
        <w:t>: Hizmet kesinti bedelini,</w:t>
      </w:r>
    </w:p>
    <w:p w14:paraId="3A0A4C24" w14:textId="77777777" w:rsidR="00241852" w:rsidRPr="00E1598E" w:rsidRDefault="00241852" w:rsidP="00241852">
      <w:pPr>
        <w:ind w:firstLine="709"/>
        <w:jc w:val="both"/>
      </w:pPr>
      <w:r w:rsidRPr="00E1598E">
        <w:t>İHB</w:t>
      </w:r>
      <w:r w:rsidRPr="00E1598E">
        <w:tab/>
        <w:t>: İlgili yıl için Bölüm 2.4. çerçevesinde hesaplanan bedeli,</w:t>
      </w:r>
    </w:p>
    <w:p w14:paraId="3817C44A" w14:textId="77777777" w:rsidR="00241852" w:rsidRPr="00E1598E" w:rsidRDefault="00241852" w:rsidP="00241852">
      <w:pPr>
        <w:ind w:firstLine="709"/>
        <w:jc w:val="both"/>
      </w:pPr>
    </w:p>
    <w:p w14:paraId="02D2221A" w14:textId="77777777" w:rsidR="00241852" w:rsidRPr="00E1598E" w:rsidRDefault="00241852" w:rsidP="00241852">
      <w:pPr>
        <w:jc w:val="both"/>
      </w:pPr>
      <w:r w:rsidRPr="00E1598E">
        <w:t>ifade eder.</w:t>
      </w:r>
    </w:p>
    <w:p w14:paraId="52730368" w14:textId="77777777" w:rsidR="00241852" w:rsidRPr="00E1598E" w:rsidRDefault="00241852" w:rsidP="00241852">
      <w:pPr>
        <w:jc w:val="both"/>
        <w:rPr>
          <w:b/>
        </w:rPr>
      </w:pPr>
    </w:p>
    <w:p w14:paraId="21567CF6" w14:textId="77777777" w:rsidR="00241852" w:rsidRPr="00E1598E" w:rsidRDefault="00241852" w:rsidP="00241852">
      <w:pPr>
        <w:jc w:val="both"/>
        <w:rPr>
          <w:sz w:val="22"/>
          <w:szCs w:val="22"/>
        </w:rPr>
      </w:pPr>
      <w:r w:rsidRPr="00E1598E">
        <w:rPr>
          <w:b/>
        </w:rPr>
        <w:t>3.1.5. Kesinti Dengeleme Bedeli</w:t>
      </w:r>
    </w:p>
    <w:p w14:paraId="0E049B1F" w14:textId="77777777" w:rsidR="00241852" w:rsidRPr="00E1598E" w:rsidRDefault="00241852" w:rsidP="00241852">
      <w:pPr>
        <w:ind w:firstLine="720"/>
        <w:jc w:val="both"/>
      </w:pPr>
    </w:p>
    <w:p w14:paraId="61BFBF1D" w14:textId="77777777" w:rsidR="00241852" w:rsidRPr="00E1598E" w:rsidRDefault="00241852" w:rsidP="00241852">
      <w:pPr>
        <w:jc w:val="both"/>
      </w:pPr>
      <w:r w:rsidRPr="00E1598E">
        <w:t xml:space="preserve">Bir taşıtanın günlük çekişinin günlük girişinden fazla olması sonucu sistem dengesinin bozulması nedeniyle taşıyıcının başka bir taşıtana yaptığı doğal gaz teslimlerinde kesinti veya azaltmaya gitmesi durumunda, buna neden olan taşıtanın bundan etkilenen taşıtana ödenmek üzere, taşıyıcıya ödemekle yükümlü olduğu ve ŞİD'de düzenlenen tutarın hesaplanmasına esas kesinti dengeleme bedeli Eşitlik (8)’e göre hesaplanır. </w:t>
      </w:r>
    </w:p>
    <w:p w14:paraId="1413A6FC" w14:textId="77777777" w:rsidR="00241852" w:rsidRPr="00E1598E" w:rsidRDefault="00241852" w:rsidP="00241852">
      <w:pPr>
        <w:ind w:firstLine="709"/>
        <w:jc w:val="both"/>
      </w:pPr>
    </w:p>
    <w:p w14:paraId="50F9D728" w14:textId="77777777" w:rsidR="00241852" w:rsidRPr="00E1598E" w:rsidRDefault="00241852" w:rsidP="00241852">
      <w:pPr>
        <w:tabs>
          <w:tab w:val="left" w:pos="8789"/>
        </w:tabs>
        <w:ind w:firstLine="709"/>
        <w:jc w:val="both"/>
      </w:pPr>
      <w:r w:rsidRPr="00E1598E">
        <w:t>KDB = GRF x 0,5</w:t>
      </w:r>
      <w:r w:rsidRPr="00E1598E">
        <w:tab/>
      </w:r>
      <w:r w:rsidRPr="00E1598E">
        <w:rPr>
          <w:b/>
        </w:rPr>
        <w:t>(8)</w:t>
      </w:r>
    </w:p>
    <w:p w14:paraId="1BBFE98F" w14:textId="77777777" w:rsidR="00241852" w:rsidRPr="00E1598E" w:rsidRDefault="00241852" w:rsidP="00241852">
      <w:pPr>
        <w:ind w:firstLine="709"/>
        <w:jc w:val="both"/>
      </w:pPr>
    </w:p>
    <w:p w14:paraId="2C6FC620" w14:textId="77777777" w:rsidR="00241852" w:rsidRPr="00E1598E" w:rsidRDefault="00241852" w:rsidP="00241852">
      <w:pPr>
        <w:jc w:val="both"/>
      </w:pPr>
      <w:r w:rsidRPr="00E1598E">
        <w:t>Bu eşitlikte geçen;</w:t>
      </w:r>
    </w:p>
    <w:p w14:paraId="571095C9" w14:textId="77777777" w:rsidR="00241852" w:rsidRPr="00E1598E" w:rsidRDefault="00241852" w:rsidP="00241852">
      <w:pPr>
        <w:ind w:firstLine="709"/>
        <w:jc w:val="both"/>
      </w:pPr>
    </w:p>
    <w:p w14:paraId="324F29E5" w14:textId="77777777" w:rsidR="00241852" w:rsidRPr="00E1598E" w:rsidRDefault="00241852" w:rsidP="00241852">
      <w:pPr>
        <w:ind w:firstLine="709"/>
        <w:jc w:val="both"/>
      </w:pPr>
      <w:r w:rsidRPr="00E1598E">
        <w:t>KDB</w:t>
      </w:r>
      <w:r w:rsidRPr="00E1598E">
        <w:tab/>
        <w:t>: Kesinti dengeleme bedelini,</w:t>
      </w:r>
    </w:p>
    <w:p w14:paraId="220702EC" w14:textId="77777777" w:rsidR="00241852" w:rsidRPr="00E1598E" w:rsidRDefault="00241852" w:rsidP="00241852">
      <w:pPr>
        <w:ind w:firstLine="709"/>
        <w:jc w:val="both"/>
      </w:pPr>
      <w:r w:rsidRPr="00E1598E">
        <w:t>GRF</w:t>
      </w:r>
      <w:r w:rsidRPr="00E1598E">
        <w:tab/>
        <w:t>: ŞİD çerçevesinde düzenlenen günlük referans fiyatını,</w:t>
      </w:r>
    </w:p>
    <w:p w14:paraId="0207CB37" w14:textId="77777777" w:rsidR="00241852" w:rsidRPr="00E1598E" w:rsidRDefault="00241852" w:rsidP="00241852">
      <w:pPr>
        <w:ind w:firstLine="709"/>
        <w:jc w:val="both"/>
      </w:pPr>
    </w:p>
    <w:p w14:paraId="000BA84B" w14:textId="77777777" w:rsidR="00241852" w:rsidRPr="00E1598E" w:rsidRDefault="00241852" w:rsidP="00241852">
      <w:pPr>
        <w:jc w:val="both"/>
      </w:pPr>
      <w:r w:rsidRPr="00E1598E">
        <w:t>ifade eder.</w:t>
      </w:r>
    </w:p>
    <w:p w14:paraId="5A43F846" w14:textId="77777777" w:rsidR="00241852" w:rsidRPr="00E1598E" w:rsidRDefault="00241852" w:rsidP="00241852">
      <w:pPr>
        <w:jc w:val="both"/>
        <w:rPr>
          <w:b/>
        </w:rPr>
      </w:pPr>
    </w:p>
    <w:p w14:paraId="7C987AA6" w14:textId="77777777" w:rsidR="00241852" w:rsidRPr="00E1598E" w:rsidRDefault="00241852" w:rsidP="00241852">
      <w:pPr>
        <w:jc w:val="both"/>
        <w:rPr>
          <w:sz w:val="22"/>
          <w:szCs w:val="22"/>
        </w:rPr>
      </w:pPr>
      <w:r w:rsidRPr="00E1598E">
        <w:rPr>
          <w:b/>
        </w:rPr>
        <w:lastRenderedPageBreak/>
        <w:t>3.1.6. Basınç Kaybı Bedeli</w:t>
      </w:r>
    </w:p>
    <w:p w14:paraId="00A630CA" w14:textId="77777777" w:rsidR="00241852" w:rsidRPr="00E1598E" w:rsidRDefault="00241852" w:rsidP="00241852">
      <w:pPr>
        <w:ind w:firstLine="720"/>
        <w:jc w:val="both"/>
      </w:pPr>
    </w:p>
    <w:p w14:paraId="02AA59E1" w14:textId="77777777" w:rsidR="00241852" w:rsidRPr="00E1598E" w:rsidRDefault="00241852" w:rsidP="00241852">
      <w:pPr>
        <w:jc w:val="both"/>
      </w:pPr>
      <w:r w:rsidRPr="00E1598E">
        <w:t>ŞİD’in 11.2.5 ve 11.2.6 maddeleri uyarınca asgari teslim basıncının altında doğal gaz teslim edildiği günlerde ilgilisi tarafından basınç kaybı bedeli Eşitlik (9)’a göre hesaplanır.</w:t>
      </w:r>
    </w:p>
    <w:p w14:paraId="5C46AB75" w14:textId="77777777" w:rsidR="00241852" w:rsidRPr="00E1598E" w:rsidRDefault="00241852" w:rsidP="00241852">
      <w:pPr>
        <w:ind w:left="709"/>
        <w:contextualSpacing/>
        <w:jc w:val="both"/>
      </w:pPr>
    </w:p>
    <w:p w14:paraId="1E2C9EFA" w14:textId="77777777" w:rsidR="00241852" w:rsidRPr="00E1598E" w:rsidRDefault="00241852" w:rsidP="00241852">
      <w:pPr>
        <w:tabs>
          <w:tab w:val="left" w:pos="8789"/>
        </w:tabs>
        <w:ind w:left="709"/>
        <w:contextualSpacing/>
        <w:jc w:val="both"/>
      </w:pPr>
      <w:r w:rsidRPr="00E1598E">
        <w:t>BKB = M x 0,00055 x (1+∆P) x GRF</w:t>
      </w:r>
      <w:r w:rsidRPr="00E1598E">
        <w:tab/>
      </w:r>
      <w:r w:rsidRPr="00E1598E">
        <w:rPr>
          <w:b/>
        </w:rPr>
        <w:t>(9)</w:t>
      </w:r>
    </w:p>
    <w:p w14:paraId="30DBA487" w14:textId="77777777" w:rsidR="00241852" w:rsidRPr="00E1598E" w:rsidRDefault="00241852" w:rsidP="00241852">
      <w:pPr>
        <w:ind w:left="709"/>
        <w:contextualSpacing/>
        <w:jc w:val="both"/>
      </w:pPr>
    </w:p>
    <w:p w14:paraId="7543A25C" w14:textId="77777777" w:rsidR="00241852" w:rsidRPr="00E1598E" w:rsidRDefault="00241852" w:rsidP="00241852">
      <w:pPr>
        <w:jc w:val="both"/>
      </w:pPr>
      <w:r w:rsidRPr="00E1598E">
        <w:t>Bu eşitlikte geçen;</w:t>
      </w:r>
    </w:p>
    <w:p w14:paraId="3EB8A306" w14:textId="77777777" w:rsidR="00241852" w:rsidRPr="00E1598E" w:rsidRDefault="00241852" w:rsidP="00241852">
      <w:pPr>
        <w:ind w:left="709"/>
        <w:contextualSpacing/>
        <w:jc w:val="both"/>
      </w:pPr>
    </w:p>
    <w:p w14:paraId="4C5303E8" w14:textId="77777777" w:rsidR="00241852" w:rsidRPr="00E1598E" w:rsidRDefault="00241852" w:rsidP="00241852">
      <w:pPr>
        <w:ind w:left="709"/>
        <w:contextualSpacing/>
        <w:jc w:val="both"/>
      </w:pPr>
      <w:r w:rsidRPr="00E1598E">
        <w:t>BKB</w:t>
      </w:r>
      <w:r w:rsidRPr="00E1598E">
        <w:tab/>
        <w:t>: Basınç kaybı bedelini,</w:t>
      </w:r>
    </w:p>
    <w:p w14:paraId="27C9B63F" w14:textId="77777777" w:rsidR="00241852" w:rsidRPr="00E1598E" w:rsidRDefault="00241852" w:rsidP="00241852">
      <w:pPr>
        <w:ind w:left="709"/>
        <w:contextualSpacing/>
        <w:jc w:val="both"/>
      </w:pPr>
      <w:r w:rsidRPr="00E1598E">
        <w:t>M</w:t>
      </w:r>
      <w:r w:rsidRPr="00E1598E">
        <w:tab/>
        <w:t>: ŞİD’in 11.2.5 ve 11.2.6 maddeleri kapsamında belirlenen miktarı,</w:t>
      </w:r>
    </w:p>
    <w:p w14:paraId="006155FF" w14:textId="77777777" w:rsidR="00241852" w:rsidRPr="00E1598E" w:rsidRDefault="00241852" w:rsidP="00241852">
      <w:pPr>
        <w:ind w:left="1418" w:hanging="709"/>
        <w:contextualSpacing/>
        <w:jc w:val="both"/>
      </w:pPr>
      <w:r w:rsidRPr="00E1598E">
        <w:t>∆P</w:t>
      </w:r>
      <w:r w:rsidRPr="00E1598E">
        <w:tab/>
        <w:t xml:space="preserve">: İlgili giriş ve çıkış noktalarında olması gereken basınç değerleri ile fiilen gerçekleşen basınç değerleri arasındaki farkını, </w:t>
      </w:r>
    </w:p>
    <w:p w14:paraId="312CD993" w14:textId="77777777" w:rsidR="00241852" w:rsidRPr="00E1598E" w:rsidRDefault="00241852" w:rsidP="00241852">
      <w:pPr>
        <w:ind w:left="709"/>
        <w:contextualSpacing/>
        <w:jc w:val="both"/>
      </w:pPr>
      <w:r w:rsidRPr="00E1598E">
        <w:t>GRF</w:t>
      </w:r>
      <w:r w:rsidRPr="00E1598E">
        <w:tab/>
        <w:t>: ŞİD çerçevesinde düzenlenen günlük referans fiyatını,</w:t>
      </w:r>
    </w:p>
    <w:p w14:paraId="20A3B040" w14:textId="77777777" w:rsidR="00241852" w:rsidRPr="00E1598E" w:rsidRDefault="00241852" w:rsidP="00241852">
      <w:pPr>
        <w:ind w:left="709"/>
        <w:contextualSpacing/>
        <w:jc w:val="both"/>
      </w:pPr>
    </w:p>
    <w:p w14:paraId="42AD52EE" w14:textId="77777777" w:rsidR="00241852" w:rsidRDefault="00241852" w:rsidP="00241852">
      <w:pPr>
        <w:jc w:val="both"/>
      </w:pPr>
      <w:r w:rsidRPr="00E1598E">
        <w:t>ifade eder.</w:t>
      </w:r>
      <w:r>
        <w:rPr>
          <w:color w:val="000000"/>
        </w:rPr>
        <w:t xml:space="preserve"> </w:t>
      </w:r>
    </w:p>
    <w:sectPr w:rsidR="00241852" w:rsidSect="007364EE">
      <w:headerReference w:type="even" r:id="rId18"/>
      <w:headerReference w:type="default" r:id="rId19"/>
      <w:footerReference w:type="even" r:id="rId20"/>
      <w:footerReference w:type="default" r:id="rId21"/>
      <w:headerReference w:type="first" r:id="rId22"/>
      <w:footerReference w:type="first" r:id="rId23"/>
      <w:pgSz w:w="11906" w:h="16838"/>
      <w:pgMar w:top="1079" w:right="707" w:bottom="125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312D" w14:textId="77777777" w:rsidR="00DF1BE3" w:rsidRDefault="00DF1BE3">
      <w:r>
        <w:separator/>
      </w:r>
    </w:p>
  </w:endnote>
  <w:endnote w:type="continuationSeparator" w:id="0">
    <w:p w14:paraId="6182293F" w14:textId="77777777" w:rsidR="00DF1BE3" w:rsidRDefault="00DF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DC0D" w14:textId="77777777" w:rsidR="00E1598E" w:rsidRDefault="00E1598E">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E3B1" w14:textId="77777777" w:rsidR="00DA7C38" w:rsidRDefault="00DA7C38" w:rsidP="0044043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B5909">
      <w:rPr>
        <w:rStyle w:val="SayfaNumaras"/>
        <w:noProof/>
      </w:rPr>
      <w:t>4</w:t>
    </w:r>
    <w:r>
      <w:rPr>
        <w:rStyle w:val="SayfaNumaras"/>
      </w:rPr>
      <w:fldChar w:fldCharType="end"/>
    </w:r>
  </w:p>
  <w:p w14:paraId="0088CE74" w14:textId="77777777" w:rsidR="00DA7C38" w:rsidRDefault="00DA7C38" w:rsidP="006D489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567D" w14:textId="77777777" w:rsidR="00E1598E" w:rsidRDefault="00E1598E">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DD51" w14:textId="77777777" w:rsidR="00DF1BE3" w:rsidRDefault="00DF1BE3">
      <w:r>
        <w:separator/>
      </w:r>
    </w:p>
  </w:footnote>
  <w:footnote w:type="continuationSeparator" w:id="0">
    <w:p w14:paraId="5F65B5C7" w14:textId="77777777" w:rsidR="00DF1BE3" w:rsidRDefault="00DF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472C" w14:textId="77777777" w:rsidR="00E1598E" w:rsidRDefault="00E1598E">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2CCE" w14:textId="77777777" w:rsidR="00E1598E" w:rsidRDefault="00E1598E">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51F" w14:textId="77777777" w:rsidR="00E1598E" w:rsidRDefault="00E1598E">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BF7"/>
    <w:multiLevelType w:val="multilevel"/>
    <w:tmpl w:val="4C9EB9F4"/>
    <w:lvl w:ilvl="0">
      <w:start w:val="1"/>
      <w:numFmt w:val="bullet"/>
      <w:lvlText w:val=""/>
      <w:lvlJc w:val="left"/>
      <w:pPr>
        <w:tabs>
          <w:tab w:val="num" w:pos="170"/>
        </w:tabs>
        <w:ind w:left="226"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253D7"/>
    <w:multiLevelType w:val="multilevel"/>
    <w:tmpl w:val="4CFCF7A2"/>
    <w:lvl w:ilvl="0">
      <w:start w:val="1"/>
      <w:numFmt w:val="bullet"/>
      <w:lvlText w:val=""/>
      <w:lvlJc w:val="left"/>
      <w:pPr>
        <w:tabs>
          <w:tab w:val="num" w:pos="170"/>
        </w:tabs>
        <w:ind w:left="226"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916BB"/>
    <w:multiLevelType w:val="hybridMultilevel"/>
    <w:tmpl w:val="6A98D15C"/>
    <w:lvl w:ilvl="0" w:tplc="F774BB16">
      <w:start w:val="1"/>
      <w:numFmt w:val="bullet"/>
      <w:lvlText w:val=""/>
      <w:lvlJc w:val="left"/>
      <w:pPr>
        <w:tabs>
          <w:tab w:val="num" w:pos="1680"/>
        </w:tabs>
        <w:ind w:left="168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257A66"/>
    <w:multiLevelType w:val="hybridMultilevel"/>
    <w:tmpl w:val="CDAA95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7137158"/>
    <w:multiLevelType w:val="hybridMultilevel"/>
    <w:tmpl w:val="9E3259C2"/>
    <w:lvl w:ilvl="0" w:tplc="D0CEE3F4">
      <w:start w:val="1"/>
      <w:numFmt w:val="lowerLetter"/>
      <w:lvlText w:val="%1)"/>
      <w:lvlJc w:val="left"/>
      <w:pPr>
        <w:tabs>
          <w:tab w:val="num" w:pos="1560"/>
        </w:tabs>
        <w:ind w:left="1560" w:hanging="360"/>
      </w:pPr>
      <w:rPr>
        <w:rFonts w:hint="default"/>
        <w:b/>
        <w:color w:val="000000"/>
      </w:rPr>
    </w:lvl>
    <w:lvl w:ilvl="1" w:tplc="8D5EBFDC">
      <w:start w:val="1"/>
      <w:numFmt w:val="lowerRoman"/>
      <w:lvlText w:val="%2-"/>
      <w:lvlJc w:val="left"/>
      <w:pPr>
        <w:tabs>
          <w:tab w:val="num" w:pos="1920"/>
        </w:tabs>
        <w:ind w:left="1920" w:hanging="720"/>
      </w:pPr>
      <w:rPr>
        <w:rFonts w:hint="default"/>
        <w:b/>
      </w:rPr>
    </w:lvl>
    <w:lvl w:ilvl="2" w:tplc="DF9CFABA">
      <w:numFmt w:val="bullet"/>
      <w:lvlText w:val="-"/>
      <w:lvlJc w:val="left"/>
      <w:pPr>
        <w:tabs>
          <w:tab w:val="num" w:pos="2460"/>
        </w:tabs>
        <w:ind w:left="2460" w:hanging="360"/>
      </w:pPr>
      <w:rPr>
        <w:rFonts w:ascii="Times New Roman" w:eastAsia="Times New Roman" w:hAnsi="Times New Roman" w:cs="Times New Roman"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83978B2"/>
    <w:multiLevelType w:val="hybridMultilevel"/>
    <w:tmpl w:val="CD8CFAB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262A6"/>
    <w:multiLevelType w:val="hybridMultilevel"/>
    <w:tmpl w:val="9F2247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91DBA"/>
    <w:multiLevelType w:val="hybridMultilevel"/>
    <w:tmpl w:val="2EC460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1F484D9B"/>
    <w:multiLevelType w:val="multilevel"/>
    <w:tmpl w:val="0062248E"/>
    <w:lvl w:ilvl="0">
      <w:start w:val="1"/>
      <w:numFmt w:val="bullet"/>
      <w:lvlText w:val=""/>
      <w:lvlJc w:val="left"/>
      <w:pPr>
        <w:tabs>
          <w:tab w:val="num" w:pos="113"/>
        </w:tabs>
        <w:ind w:left="113"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23033"/>
    <w:multiLevelType w:val="hybridMultilevel"/>
    <w:tmpl w:val="9F8EB152"/>
    <w:lvl w:ilvl="0" w:tplc="2B2ECEE4">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AD00D3"/>
    <w:multiLevelType w:val="hybridMultilevel"/>
    <w:tmpl w:val="7514E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CA1A9F"/>
    <w:multiLevelType w:val="hybridMultilevel"/>
    <w:tmpl w:val="FCD8B632"/>
    <w:lvl w:ilvl="0" w:tplc="041F0005">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8B1027"/>
    <w:multiLevelType w:val="hybridMultilevel"/>
    <w:tmpl w:val="F68C0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0D0E0D"/>
    <w:multiLevelType w:val="hybridMultilevel"/>
    <w:tmpl w:val="D45E9E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13206"/>
    <w:multiLevelType w:val="hybridMultilevel"/>
    <w:tmpl w:val="37C053B0"/>
    <w:lvl w:ilvl="0" w:tplc="041F0001">
      <w:start w:val="1"/>
      <w:numFmt w:val="bullet"/>
      <w:lvlText w:val=""/>
      <w:lvlJc w:val="left"/>
      <w:pPr>
        <w:tabs>
          <w:tab w:val="num" w:pos="473"/>
        </w:tabs>
        <w:ind w:left="473" w:hanging="360"/>
      </w:pPr>
      <w:rPr>
        <w:rFonts w:ascii="Symbol" w:hAnsi="Symbol" w:hint="default"/>
      </w:rPr>
    </w:lvl>
    <w:lvl w:ilvl="1" w:tplc="3E0A5534">
      <w:start w:val="1"/>
      <w:numFmt w:val="bullet"/>
      <w:lvlText w:val=""/>
      <w:lvlJc w:val="left"/>
      <w:pPr>
        <w:tabs>
          <w:tab w:val="num" w:pos="1137"/>
        </w:tabs>
        <w:ind w:left="1193" w:hanging="113"/>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61063A"/>
    <w:multiLevelType w:val="hybridMultilevel"/>
    <w:tmpl w:val="26168C0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32551E68"/>
    <w:multiLevelType w:val="hybridMultilevel"/>
    <w:tmpl w:val="4CFCF7A2"/>
    <w:lvl w:ilvl="0" w:tplc="3E0A5534">
      <w:start w:val="1"/>
      <w:numFmt w:val="bullet"/>
      <w:lvlText w:val=""/>
      <w:lvlJc w:val="left"/>
      <w:pPr>
        <w:tabs>
          <w:tab w:val="num" w:pos="170"/>
        </w:tabs>
        <w:ind w:left="226"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D4102"/>
    <w:multiLevelType w:val="hybridMultilevel"/>
    <w:tmpl w:val="76C02204"/>
    <w:lvl w:ilvl="0" w:tplc="A65C970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372B351F"/>
    <w:multiLevelType w:val="hybridMultilevel"/>
    <w:tmpl w:val="53A8D3BC"/>
    <w:lvl w:ilvl="0" w:tplc="0A665D86">
      <w:start w:val="1"/>
      <w:numFmt w:val="bullet"/>
      <w:lvlText w:val=""/>
      <w:lvlJc w:val="left"/>
      <w:pPr>
        <w:tabs>
          <w:tab w:val="num" w:pos="113"/>
        </w:tabs>
        <w:ind w:left="113" w:firstLine="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9286F"/>
    <w:multiLevelType w:val="hybridMultilevel"/>
    <w:tmpl w:val="79345756"/>
    <w:lvl w:ilvl="0" w:tplc="041F0001">
      <w:start w:val="1"/>
      <w:numFmt w:val="bullet"/>
      <w:lvlText w:val=""/>
      <w:lvlJc w:val="left"/>
      <w:pPr>
        <w:ind w:left="1440" w:hanging="360"/>
      </w:pPr>
      <w:rPr>
        <w:rFonts w:ascii="Symbol" w:hAnsi="Symbol" w:hint="default"/>
      </w:rPr>
    </w:lvl>
    <w:lvl w:ilvl="1" w:tplc="041F0001">
      <w:start w:val="1"/>
      <w:numFmt w:val="bullet"/>
      <w:lvlText w:val=""/>
      <w:lvlJc w:val="left"/>
      <w:pPr>
        <w:ind w:left="2160" w:hanging="360"/>
      </w:pPr>
      <w:rPr>
        <w:rFonts w:ascii="Symbol" w:hAnsi="Symbol" w:hint="default"/>
      </w:rPr>
    </w:lvl>
    <w:lvl w:ilvl="2" w:tplc="D42ADB4E">
      <w:numFmt w:val="bullet"/>
      <w:lvlText w:val="•"/>
      <w:lvlJc w:val="left"/>
      <w:pPr>
        <w:ind w:left="2880" w:hanging="360"/>
      </w:pPr>
      <w:rPr>
        <w:rFonts w:ascii="Times New Roman" w:eastAsia="Times New Roman" w:hAnsi="Times New Roman" w:cs="Times New Roman"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36E0D5F"/>
    <w:multiLevelType w:val="multilevel"/>
    <w:tmpl w:val="0062248E"/>
    <w:lvl w:ilvl="0">
      <w:start w:val="1"/>
      <w:numFmt w:val="bullet"/>
      <w:lvlText w:val=""/>
      <w:lvlJc w:val="left"/>
      <w:pPr>
        <w:tabs>
          <w:tab w:val="num" w:pos="113"/>
        </w:tabs>
        <w:ind w:left="113"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87751"/>
    <w:multiLevelType w:val="hybridMultilevel"/>
    <w:tmpl w:val="4E7EBC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67B27DE"/>
    <w:multiLevelType w:val="hybridMultilevel"/>
    <w:tmpl w:val="7446388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68F2AA0"/>
    <w:multiLevelType w:val="hybridMultilevel"/>
    <w:tmpl w:val="24CAAC74"/>
    <w:lvl w:ilvl="0" w:tplc="604A5FBA">
      <w:start w:val="1"/>
      <w:numFmt w:val="decimal"/>
      <w:lvlText w:val="%1."/>
      <w:lvlJc w:val="left"/>
      <w:pPr>
        <w:tabs>
          <w:tab w:val="num" w:pos="1440"/>
        </w:tabs>
        <w:ind w:left="1440" w:hanging="360"/>
      </w:pPr>
      <w:rPr>
        <w:color w:val="000000"/>
      </w:rPr>
    </w:lvl>
    <w:lvl w:ilvl="1" w:tplc="E5FEC6B0">
      <w:numFmt w:val="none"/>
      <w:lvlText w:val=""/>
      <w:lvlJc w:val="left"/>
      <w:pPr>
        <w:tabs>
          <w:tab w:val="num" w:pos="360"/>
        </w:tabs>
      </w:pPr>
    </w:lvl>
    <w:lvl w:ilvl="2" w:tplc="BFB8893C">
      <w:numFmt w:val="none"/>
      <w:lvlText w:val=""/>
      <w:lvlJc w:val="left"/>
      <w:pPr>
        <w:tabs>
          <w:tab w:val="num" w:pos="360"/>
        </w:tabs>
      </w:pPr>
    </w:lvl>
    <w:lvl w:ilvl="3" w:tplc="633A0372">
      <w:numFmt w:val="none"/>
      <w:lvlText w:val=""/>
      <w:lvlJc w:val="left"/>
      <w:pPr>
        <w:tabs>
          <w:tab w:val="num" w:pos="360"/>
        </w:tabs>
      </w:pPr>
    </w:lvl>
    <w:lvl w:ilvl="4" w:tplc="8730CDC4">
      <w:numFmt w:val="none"/>
      <w:lvlText w:val=""/>
      <w:lvlJc w:val="left"/>
      <w:pPr>
        <w:tabs>
          <w:tab w:val="num" w:pos="360"/>
        </w:tabs>
      </w:pPr>
    </w:lvl>
    <w:lvl w:ilvl="5" w:tplc="5A26BA72">
      <w:numFmt w:val="none"/>
      <w:lvlText w:val=""/>
      <w:lvlJc w:val="left"/>
      <w:pPr>
        <w:tabs>
          <w:tab w:val="num" w:pos="360"/>
        </w:tabs>
      </w:pPr>
    </w:lvl>
    <w:lvl w:ilvl="6" w:tplc="53E868A8">
      <w:numFmt w:val="none"/>
      <w:lvlText w:val=""/>
      <w:lvlJc w:val="left"/>
      <w:pPr>
        <w:tabs>
          <w:tab w:val="num" w:pos="360"/>
        </w:tabs>
      </w:pPr>
    </w:lvl>
    <w:lvl w:ilvl="7" w:tplc="5D1C6986">
      <w:numFmt w:val="none"/>
      <w:lvlText w:val=""/>
      <w:lvlJc w:val="left"/>
      <w:pPr>
        <w:tabs>
          <w:tab w:val="num" w:pos="360"/>
        </w:tabs>
      </w:pPr>
    </w:lvl>
    <w:lvl w:ilvl="8" w:tplc="D200F22C">
      <w:numFmt w:val="none"/>
      <w:lvlText w:val=""/>
      <w:lvlJc w:val="left"/>
      <w:pPr>
        <w:tabs>
          <w:tab w:val="num" w:pos="360"/>
        </w:tabs>
      </w:pPr>
    </w:lvl>
  </w:abstractNum>
  <w:abstractNum w:abstractNumId="24" w15:restartNumberingAfterBreak="0">
    <w:nsid w:val="4DAD3E3A"/>
    <w:multiLevelType w:val="hybridMultilevel"/>
    <w:tmpl w:val="6E6A75D6"/>
    <w:lvl w:ilvl="0" w:tplc="3268223A">
      <w:start w:val="3"/>
      <w:numFmt w:val="bullet"/>
      <w:lvlText w:val="-"/>
      <w:lvlJc w:val="left"/>
      <w:pPr>
        <w:tabs>
          <w:tab w:val="num" w:pos="960"/>
        </w:tabs>
        <w:ind w:left="960" w:hanging="360"/>
      </w:pPr>
      <w:rPr>
        <w:rFonts w:ascii="Times New Roman" w:eastAsia="Times New Roman" w:hAnsi="Times New Roman" w:cs="Times New Roman" w:hint="default"/>
      </w:rPr>
    </w:lvl>
    <w:lvl w:ilvl="1" w:tplc="041F0003" w:tentative="1">
      <w:start w:val="1"/>
      <w:numFmt w:val="bullet"/>
      <w:lvlText w:val="o"/>
      <w:lvlJc w:val="left"/>
      <w:pPr>
        <w:tabs>
          <w:tab w:val="num" w:pos="1680"/>
        </w:tabs>
        <w:ind w:left="1680" w:hanging="360"/>
      </w:pPr>
      <w:rPr>
        <w:rFonts w:ascii="Courier New" w:hAnsi="Courier New" w:cs="Courier New" w:hint="default"/>
      </w:rPr>
    </w:lvl>
    <w:lvl w:ilvl="2" w:tplc="041F0005" w:tentative="1">
      <w:start w:val="1"/>
      <w:numFmt w:val="bullet"/>
      <w:lvlText w:val=""/>
      <w:lvlJc w:val="left"/>
      <w:pPr>
        <w:tabs>
          <w:tab w:val="num" w:pos="2400"/>
        </w:tabs>
        <w:ind w:left="2400" w:hanging="360"/>
      </w:pPr>
      <w:rPr>
        <w:rFonts w:ascii="Wingdings" w:hAnsi="Wingdings" w:hint="default"/>
      </w:rPr>
    </w:lvl>
    <w:lvl w:ilvl="3" w:tplc="041F0001" w:tentative="1">
      <w:start w:val="1"/>
      <w:numFmt w:val="bullet"/>
      <w:lvlText w:val=""/>
      <w:lvlJc w:val="left"/>
      <w:pPr>
        <w:tabs>
          <w:tab w:val="num" w:pos="3120"/>
        </w:tabs>
        <w:ind w:left="3120" w:hanging="360"/>
      </w:pPr>
      <w:rPr>
        <w:rFonts w:ascii="Symbol" w:hAnsi="Symbol" w:hint="default"/>
      </w:rPr>
    </w:lvl>
    <w:lvl w:ilvl="4" w:tplc="041F0003" w:tentative="1">
      <w:start w:val="1"/>
      <w:numFmt w:val="bullet"/>
      <w:lvlText w:val="o"/>
      <w:lvlJc w:val="left"/>
      <w:pPr>
        <w:tabs>
          <w:tab w:val="num" w:pos="3840"/>
        </w:tabs>
        <w:ind w:left="3840" w:hanging="360"/>
      </w:pPr>
      <w:rPr>
        <w:rFonts w:ascii="Courier New" w:hAnsi="Courier New" w:cs="Courier New" w:hint="default"/>
      </w:rPr>
    </w:lvl>
    <w:lvl w:ilvl="5" w:tplc="041F0005" w:tentative="1">
      <w:start w:val="1"/>
      <w:numFmt w:val="bullet"/>
      <w:lvlText w:val=""/>
      <w:lvlJc w:val="left"/>
      <w:pPr>
        <w:tabs>
          <w:tab w:val="num" w:pos="4560"/>
        </w:tabs>
        <w:ind w:left="4560" w:hanging="360"/>
      </w:pPr>
      <w:rPr>
        <w:rFonts w:ascii="Wingdings" w:hAnsi="Wingdings" w:hint="default"/>
      </w:rPr>
    </w:lvl>
    <w:lvl w:ilvl="6" w:tplc="041F0001" w:tentative="1">
      <w:start w:val="1"/>
      <w:numFmt w:val="bullet"/>
      <w:lvlText w:val=""/>
      <w:lvlJc w:val="left"/>
      <w:pPr>
        <w:tabs>
          <w:tab w:val="num" w:pos="5280"/>
        </w:tabs>
        <w:ind w:left="5280" w:hanging="360"/>
      </w:pPr>
      <w:rPr>
        <w:rFonts w:ascii="Symbol" w:hAnsi="Symbol" w:hint="default"/>
      </w:rPr>
    </w:lvl>
    <w:lvl w:ilvl="7" w:tplc="041F0003" w:tentative="1">
      <w:start w:val="1"/>
      <w:numFmt w:val="bullet"/>
      <w:lvlText w:val="o"/>
      <w:lvlJc w:val="left"/>
      <w:pPr>
        <w:tabs>
          <w:tab w:val="num" w:pos="6000"/>
        </w:tabs>
        <w:ind w:left="6000" w:hanging="360"/>
      </w:pPr>
      <w:rPr>
        <w:rFonts w:ascii="Courier New" w:hAnsi="Courier New" w:cs="Courier New" w:hint="default"/>
      </w:rPr>
    </w:lvl>
    <w:lvl w:ilvl="8" w:tplc="041F0005" w:tentative="1">
      <w:start w:val="1"/>
      <w:numFmt w:val="bullet"/>
      <w:lvlText w:val=""/>
      <w:lvlJc w:val="left"/>
      <w:pPr>
        <w:tabs>
          <w:tab w:val="num" w:pos="6720"/>
        </w:tabs>
        <w:ind w:left="6720" w:hanging="360"/>
      </w:pPr>
      <w:rPr>
        <w:rFonts w:ascii="Wingdings" w:hAnsi="Wingdings" w:hint="default"/>
      </w:rPr>
    </w:lvl>
  </w:abstractNum>
  <w:abstractNum w:abstractNumId="25" w15:restartNumberingAfterBreak="0">
    <w:nsid w:val="4FDD054D"/>
    <w:multiLevelType w:val="hybridMultilevel"/>
    <w:tmpl w:val="0062248E"/>
    <w:lvl w:ilvl="0" w:tplc="A65C970E">
      <w:start w:val="1"/>
      <w:numFmt w:val="bullet"/>
      <w:lvlText w:val=""/>
      <w:lvlJc w:val="left"/>
      <w:pPr>
        <w:tabs>
          <w:tab w:val="num" w:pos="113"/>
        </w:tabs>
        <w:ind w:left="113" w:firstLine="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C22E5"/>
    <w:multiLevelType w:val="hybridMultilevel"/>
    <w:tmpl w:val="BE266C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407659A"/>
    <w:multiLevelType w:val="hybridMultilevel"/>
    <w:tmpl w:val="879600A6"/>
    <w:lvl w:ilvl="0" w:tplc="5DEA4C74">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8" w15:restartNumberingAfterBreak="0">
    <w:nsid w:val="56862D12"/>
    <w:multiLevelType w:val="hybridMultilevel"/>
    <w:tmpl w:val="A2947B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8B30A9"/>
    <w:multiLevelType w:val="hybridMultilevel"/>
    <w:tmpl w:val="19A8B0E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15:restartNumberingAfterBreak="0">
    <w:nsid w:val="57DB386C"/>
    <w:multiLevelType w:val="hybridMultilevel"/>
    <w:tmpl w:val="56F0B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6035291"/>
    <w:multiLevelType w:val="hybridMultilevel"/>
    <w:tmpl w:val="9ED4C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64C364B"/>
    <w:multiLevelType w:val="hybridMultilevel"/>
    <w:tmpl w:val="29A857F2"/>
    <w:lvl w:ilvl="0" w:tplc="A65C970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67DE0E6B"/>
    <w:multiLevelType w:val="hybridMultilevel"/>
    <w:tmpl w:val="9A9486B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8F01D12"/>
    <w:multiLevelType w:val="hybridMultilevel"/>
    <w:tmpl w:val="E6AABB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E2D7D"/>
    <w:multiLevelType w:val="hybridMultilevel"/>
    <w:tmpl w:val="A35A1C30"/>
    <w:lvl w:ilvl="0" w:tplc="041F0001">
      <w:start w:val="1"/>
      <w:numFmt w:val="bullet"/>
      <w:lvlText w:val=""/>
      <w:lvlJc w:val="left"/>
      <w:pPr>
        <w:tabs>
          <w:tab w:val="num" w:pos="1320"/>
        </w:tabs>
        <w:ind w:left="1320" w:hanging="360"/>
      </w:pPr>
      <w:rPr>
        <w:rFonts w:ascii="Symbol" w:hAnsi="Symbol" w:hint="default"/>
      </w:rPr>
    </w:lvl>
    <w:lvl w:ilvl="1" w:tplc="041F0003" w:tentative="1">
      <w:start w:val="1"/>
      <w:numFmt w:val="bullet"/>
      <w:lvlText w:val="o"/>
      <w:lvlJc w:val="left"/>
      <w:pPr>
        <w:tabs>
          <w:tab w:val="num" w:pos="2040"/>
        </w:tabs>
        <w:ind w:left="2040" w:hanging="360"/>
      </w:pPr>
      <w:rPr>
        <w:rFonts w:ascii="Courier New" w:hAnsi="Courier New" w:cs="Courier New" w:hint="default"/>
      </w:rPr>
    </w:lvl>
    <w:lvl w:ilvl="2" w:tplc="041F0005" w:tentative="1">
      <w:start w:val="1"/>
      <w:numFmt w:val="bullet"/>
      <w:lvlText w:val=""/>
      <w:lvlJc w:val="left"/>
      <w:pPr>
        <w:tabs>
          <w:tab w:val="num" w:pos="2760"/>
        </w:tabs>
        <w:ind w:left="2760" w:hanging="360"/>
      </w:pPr>
      <w:rPr>
        <w:rFonts w:ascii="Wingdings" w:hAnsi="Wingdings" w:hint="default"/>
      </w:rPr>
    </w:lvl>
    <w:lvl w:ilvl="3" w:tplc="041F0001" w:tentative="1">
      <w:start w:val="1"/>
      <w:numFmt w:val="bullet"/>
      <w:lvlText w:val=""/>
      <w:lvlJc w:val="left"/>
      <w:pPr>
        <w:tabs>
          <w:tab w:val="num" w:pos="3480"/>
        </w:tabs>
        <w:ind w:left="3480" w:hanging="360"/>
      </w:pPr>
      <w:rPr>
        <w:rFonts w:ascii="Symbol" w:hAnsi="Symbol" w:hint="default"/>
      </w:rPr>
    </w:lvl>
    <w:lvl w:ilvl="4" w:tplc="041F0003" w:tentative="1">
      <w:start w:val="1"/>
      <w:numFmt w:val="bullet"/>
      <w:lvlText w:val="o"/>
      <w:lvlJc w:val="left"/>
      <w:pPr>
        <w:tabs>
          <w:tab w:val="num" w:pos="4200"/>
        </w:tabs>
        <w:ind w:left="4200" w:hanging="360"/>
      </w:pPr>
      <w:rPr>
        <w:rFonts w:ascii="Courier New" w:hAnsi="Courier New" w:cs="Courier New" w:hint="default"/>
      </w:rPr>
    </w:lvl>
    <w:lvl w:ilvl="5" w:tplc="041F0005" w:tentative="1">
      <w:start w:val="1"/>
      <w:numFmt w:val="bullet"/>
      <w:lvlText w:val=""/>
      <w:lvlJc w:val="left"/>
      <w:pPr>
        <w:tabs>
          <w:tab w:val="num" w:pos="4920"/>
        </w:tabs>
        <w:ind w:left="4920" w:hanging="360"/>
      </w:pPr>
      <w:rPr>
        <w:rFonts w:ascii="Wingdings" w:hAnsi="Wingdings" w:hint="default"/>
      </w:rPr>
    </w:lvl>
    <w:lvl w:ilvl="6" w:tplc="041F0001" w:tentative="1">
      <w:start w:val="1"/>
      <w:numFmt w:val="bullet"/>
      <w:lvlText w:val=""/>
      <w:lvlJc w:val="left"/>
      <w:pPr>
        <w:tabs>
          <w:tab w:val="num" w:pos="5640"/>
        </w:tabs>
        <w:ind w:left="5640" w:hanging="360"/>
      </w:pPr>
      <w:rPr>
        <w:rFonts w:ascii="Symbol" w:hAnsi="Symbol" w:hint="default"/>
      </w:rPr>
    </w:lvl>
    <w:lvl w:ilvl="7" w:tplc="041F0003" w:tentative="1">
      <w:start w:val="1"/>
      <w:numFmt w:val="bullet"/>
      <w:lvlText w:val="o"/>
      <w:lvlJc w:val="left"/>
      <w:pPr>
        <w:tabs>
          <w:tab w:val="num" w:pos="6360"/>
        </w:tabs>
        <w:ind w:left="6360" w:hanging="360"/>
      </w:pPr>
      <w:rPr>
        <w:rFonts w:ascii="Courier New" w:hAnsi="Courier New" w:cs="Courier New" w:hint="default"/>
      </w:rPr>
    </w:lvl>
    <w:lvl w:ilvl="8" w:tplc="041F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6F304362"/>
    <w:multiLevelType w:val="hybridMultilevel"/>
    <w:tmpl w:val="A256443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1E51AC"/>
    <w:multiLevelType w:val="hybridMultilevel"/>
    <w:tmpl w:val="D91481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6E3596"/>
    <w:multiLevelType w:val="hybridMultilevel"/>
    <w:tmpl w:val="F4307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27C4606"/>
    <w:multiLevelType w:val="hybridMultilevel"/>
    <w:tmpl w:val="3D4A8C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C42922"/>
    <w:multiLevelType w:val="hybridMultilevel"/>
    <w:tmpl w:val="4C9EB9F4"/>
    <w:lvl w:ilvl="0" w:tplc="69AAFB32">
      <w:start w:val="1"/>
      <w:numFmt w:val="bullet"/>
      <w:lvlText w:val=""/>
      <w:lvlJc w:val="left"/>
      <w:pPr>
        <w:tabs>
          <w:tab w:val="num" w:pos="170"/>
        </w:tabs>
        <w:ind w:left="226"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53486F"/>
    <w:multiLevelType w:val="hybridMultilevel"/>
    <w:tmpl w:val="204677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EE0F54"/>
    <w:multiLevelType w:val="hybridMultilevel"/>
    <w:tmpl w:val="9684C87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DCC5495"/>
    <w:multiLevelType w:val="hybridMultilevel"/>
    <w:tmpl w:val="1F5A33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42"/>
  </w:num>
  <w:num w:numId="3">
    <w:abstractNumId w:val="25"/>
  </w:num>
  <w:num w:numId="4">
    <w:abstractNumId w:val="18"/>
  </w:num>
  <w:num w:numId="5">
    <w:abstractNumId w:val="8"/>
  </w:num>
  <w:num w:numId="6">
    <w:abstractNumId w:val="40"/>
  </w:num>
  <w:num w:numId="7">
    <w:abstractNumId w:val="0"/>
  </w:num>
  <w:num w:numId="8">
    <w:abstractNumId w:val="16"/>
  </w:num>
  <w:num w:numId="9">
    <w:abstractNumId w:val="2"/>
  </w:num>
  <w:num w:numId="10">
    <w:abstractNumId w:val="6"/>
  </w:num>
  <w:num w:numId="11">
    <w:abstractNumId w:val="1"/>
  </w:num>
  <w:num w:numId="12">
    <w:abstractNumId w:val="14"/>
  </w:num>
  <w:num w:numId="13">
    <w:abstractNumId w:val="33"/>
  </w:num>
  <w:num w:numId="14">
    <w:abstractNumId w:val="28"/>
  </w:num>
  <w:num w:numId="15">
    <w:abstractNumId w:val="5"/>
  </w:num>
  <w:num w:numId="16">
    <w:abstractNumId w:val="37"/>
  </w:num>
  <w:num w:numId="17">
    <w:abstractNumId w:val="34"/>
  </w:num>
  <w:num w:numId="18">
    <w:abstractNumId w:val="23"/>
  </w:num>
  <w:num w:numId="19">
    <w:abstractNumId w:val="35"/>
  </w:num>
  <w:num w:numId="20">
    <w:abstractNumId w:val="9"/>
  </w:num>
  <w:num w:numId="21">
    <w:abstractNumId w:val="13"/>
  </w:num>
  <w:num w:numId="22">
    <w:abstractNumId w:val="4"/>
  </w:num>
  <w:num w:numId="23">
    <w:abstractNumId w:val="22"/>
  </w:num>
  <w:num w:numId="24">
    <w:abstractNumId w:val="27"/>
  </w:num>
  <w:num w:numId="25">
    <w:abstractNumId w:val="36"/>
  </w:num>
  <w:num w:numId="26">
    <w:abstractNumId w:val="11"/>
  </w:num>
  <w:num w:numId="27">
    <w:abstractNumId w:val="20"/>
  </w:num>
  <w:num w:numId="28">
    <w:abstractNumId w:val="19"/>
  </w:num>
  <w:num w:numId="29">
    <w:abstractNumId w:val="41"/>
  </w:num>
  <w:num w:numId="30">
    <w:abstractNumId w:val="39"/>
  </w:num>
  <w:num w:numId="31">
    <w:abstractNumId w:val="29"/>
  </w:num>
  <w:num w:numId="32">
    <w:abstractNumId w:val="3"/>
  </w:num>
  <w:num w:numId="33">
    <w:abstractNumId w:val="15"/>
  </w:num>
  <w:num w:numId="34">
    <w:abstractNumId w:val="10"/>
  </w:num>
  <w:num w:numId="35">
    <w:abstractNumId w:val="7"/>
  </w:num>
  <w:num w:numId="36">
    <w:abstractNumId w:val="43"/>
  </w:num>
  <w:num w:numId="37">
    <w:abstractNumId w:val="12"/>
  </w:num>
  <w:num w:numId="38">
    <w:abstractNumId w:val="38"/>
  </w:num>
  <w:num w:numId="39">
    <w:abstractNumId w:val="30"/>
  </w:num>
  <w:num w:numId="40">
    <w:abstractNumId w:val="31"/>
  </w:num>
  <w:num w:numId="41">
    <w:abstractNumId w:val="26"/>
  </w:num>
  <w:num w:numId="42">
    <w:abstractNumId w:val="21"/>
  </w:num>
  <w:num w:numId="43">
    <w:abstractNumId w:val="17"/>
  </w:num>
  <w:num w:numId="44">
    <w:abstractNumId w:val="32"/>
  </w:num>
  <w:num w:numId="45">
    <w:abstractNumId w:val="26"/>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F0"/>
    <w:rsid w:val="00002B11"/>
    <w:rsid w:val="00002BC3"/>
    <w:rsid w:val="00003806"/>
    <w:rsid w:val="00006C73"/>
    <w:rsid w:val="00010782"/>
    <w:rsid w:val="0001233C"/>
    <w:rsid w:val="000125DF"/>
    <w:rsid w:val="00013210"/>
    <w:rsid w:val="0001444D"/>
    <w:rsid w:val="0001493B"/>
    <w:rsid w:val="00015E75"/>
    <w:rsid w:val="00016923"/>
    <w:rsid w:val="000169F1"/>
    <w:rsid w:val="000178FF"/>
    <w:rsid w:val="00020E54"/>
    <w:rsid w:val="0002128A"/>
    <w:rsid w:val="000237E7"/>
    <w:rsid w:val="00025702"/>
    <w:rsid w:val="0003669B"/>
    <w:rsid w:val="000428A5"/>
    <w:rsid w:val="000459CB"/>
    <w:rsid w:val="000468F3"/>
    <w:rsid w:val="0005087E"/>
    <w:rsid w:val="00054407"/>
    <w:rsid w:val="0006004B"/>
    <w:rsid w:val="00065984"/>
    <w:rsid w:val="000702DB"/>
    <w:rsid w:val="00071A1F"/>
    <w:rsid w:val="00072A28"/>
    <w:rsid w:val="00073171"/>
    <w:rsid w:val="0007399D"/>
    <w:rsid w:val="00075F3E"/>
    <w:rsid w:val="00077423"/>
    <w:rsid w:val="000812A6"/>
    <w:rsid w:val="00082566"/>
    <w:rsid w:val="00082ED9"/>
    <w:rsid w:val="00082F90"/>
    <w:rsid w:val="00085C4F"/>
    <w:rsid w:val="0008736B"/>
    <w:rsid w:val="000877FD"/>
    <w:rsid w:val="00091DD7"/>
    <w:rsid w:val="00092359"/>
    <w:rsid w:val="00096FDA"/>
    <w:rsid w:val="00097DE4"/>
    <w:rsid w:val="000A0121"/>
    <w:rsid w:val="000A0FD5"/>
    <w:rsid w:val="000A4462"/>
    <w:rsid w:val="000A77EB"/>
    <w:rsid w:val="000B004C"/>
    <w:rsid w:val="000B02DF"/>
    <w:rsid w:val="000B2E49"/>
    <w:rsid w:val="000B31C8"/>
    <w:rsid w:val="000B3835"/>
    <w:rsid w:val="000B4C41"/>
    <w:rsid w:val="000B4F79"/>
    <w:rsid w:val="000B56DD"/>
    <w:rsid w:val="000C134A"/>
    <w:rsid w:val="000C5E9A"/>
    <w:rsid w:val="000D0D93"/>
    <w:rsid w:val="000D6F63"/>
    <w:rsid w:val="000D70EB"/>
    <w:rsid w:val="000D7465"/>
    <w:rsid w:val="000E0784"/>
    <w:rsid w:val="000E2BBB"/>
    <w:rsid w:val="000E6055"/>
    <w:rsid w:val="000E7504"/>
    <w:rsid w:val="000F07FC"/>
    <w:rsid w:val="000F3E0B"/>
    <w:rsid w:val="000F4959"/>
    <w:rsid w:val="00100983"/>
    <w:rsid w:val="0010293F"/>
    <w:rsid w:val="00103137"/>
    <w:rsid w:val="001070BE"/>
    <w:rsid w:val="001072FF"/>
    <w:rsid w:val="0010734D"/>
    <w:rsid w:val="0011195B"/>
    <w:rsid w:val="001130A2"/>
    <w:rsid w:val="001163BF"/>
    <w:rsid w:val="00117C11"/>
    <w:rsid w:val="00117DDF"/>
    <w:rsid w:val="00117FCB"/>
    <w:rsid w:val="00120ADF"/>
    <w:rsid w:val="00122354"/>
    <w:rsid w:val="001272CC"/>
    <w:rsid w:val="00130027"/>
    <w:rsid w:val="001304B0"/>
    <w:rsid w:val="0013297F"/>
    <w:rsid w:val="001329EC"/>
    <w:rsid w:val="00135447"/>
    <w:rsid w:val="00144DF0"/>
    <w:rsid w:val="00147D62"/>
    <w:rsid w:val="001505AC"/>
    <w:rsid w:val="00151C70"/>
    <w:rsid w:val="00152DC3"/>
    <w:rsid w:val="0015419C"/>
    <w:rsid w:val="0015573B"/>
    <w:rsid w:val="00156112"/>
    <w:rsid w:val="00166A3F"/>
    <w:rsid w:val="001678D2"/>
    <w:rsid w:val="00170B56"/>
    <w:rsid w:val="00172466"/>
    <w:rsid w:val="001759CD"/>
    <w:rsid w:val="00176763"/>
    <w:rsid w:val="0017679F"/>
    <w:rsid w:val="00177BF3"/>
    <w:rsid w:val="00180456"/>
    <w:rsid w:val="00180A3F"/>
    <w:rsid w:val="001836C4"/>
    <w:rsid w:val="001849C5"/>
    <w:rsid w:val="00190A25"/>
    <w:rsid w:val="00190A26"/>
    <w:rsid w:val="0019494A"/>
    <w:rsid w:val="0019646F"/>
    <w:rsid w:val="00197804"/>
    <w:rsid w:val="001A05EF"/>
    <w:rsid w:val="001A1211"/>
    <w:rsid w:val="001A45FD"/>
    <w:rsid w:val="001A4AD7"/>
    <w:rsid w:val="001A5C8C"/>
    <w:rsid w:val="001A77E5"/>
    <w:rsid w:val="001B0534"/>
    <w:rsid w:val="001B33A1"/>
    <w:rsid w:val="001B38E2"/>
    <w:rsid w:val="001B504C"/>
    <w:rsid w:val="001B6E50"/>
    <w:rsid w:val="001B71A1"/>
    <w:rsid w:val="001C1076"/>
    <w:rsid w:val="001C1740"/>
    <w:rsid w:val="001C23CB"/>
    <w:rsid w:val="001C3638"/>
    <w:rsid w:val="001C5825"/>
    <w:rsid w:val="001C5D47"/>
    <w:rsid w:val="001C7560"/>
    <w:rsid w:val="001D03ED"/>
    <w:rsid w:val="001D079E"/>
    <w:rsid w:val="001D4A26"/>
    <w:rsid w:val="001D5838"/>
    <w:rsid w:val="001D6678"/>
    <w:rsid w:val="001E638A"/>
    <w:rsid w:val="001F19F3"/>
    <w:rsid w:val="001F39C5"/>
    <w:rsid w:val="001F4281"/>
    <w:rsid w:val="002016FF"/>
    <w:rsid w:val="00202F97"/>
    <w:rsid w:val="002042CD"/>
    <w:rsid w:val="00204640"/>
    <w:rsid w:val="00204B21"/>
    <w:rsid w:val="002053FD"/>
    <w:rsid w:val="00205996"/>
    <w:rsid w:val="002061A5"/>
    <w:rsid w:val="00207FF5"/>
    <w:rsid w:val="00210921"/>
    <w:rsid w:val="0021386C"/>
    <w:rsid w:val="00214714"/>
    <w:rsid w:val="002158C1"/>
    <w:rsid w:val="00215A0D"/>
    <w:rsid w:val="00221D6F"/>
    <w:rsid w:val="00222802"/>
    <w:rsid w:val="00224353"/>
    <w:rsid w:val="002259DE"/>
    <w:rsid w:val="002279BF"/>
    <w:rsid w:val="002304FF"/>
    <w:rsid w:val="002313CD"/>
    <w:rsid w:val="00232202"/>
    <w:rsid w:val="00232FB4"/>
    <w:rsid w:val="00233E41"/>
    <w:rsid w:val="0023411C"/>
    <w:rsid w:val="0023471B"/>
    <w:rsid w:val="00236907"/>
    <w:rsid w:val="0023768F"/>
    <w:rsid w:val="002407FF"/>
    <w:rsid w:val="00240ADB"/>
    <w:rsid w:val="00240FAB"/>
    <w:rsid w:val="0024102A"/>
    <w:rsid w:val="00241852"/>
    <w:rsid w:val="00242EDA"/>
    <w:rsid w:val="002447A8"/>
    <w:rsid w:val="00250769"/>
    <w:rsid w:val="00251275"/>
    <w:rsid w:val="00252AA5"/>
    <w:rsid w:val="0025449F"/>
    <w:rsid w:val="00254E63"/>
    <w:rsid w:val="00257260"/>
    <w:rsid w:val="002572D9"/>
    <w:rsid w:val="002600A2"/>
    <w:rsid w:val="0026081B"/>
    <w:rsid w:val="00263CBC"/>
    <w:rsid w:val="00264E3A"/>
    <w:rsid w:val="002674A4"/>
    <w:rsid w:val="00271854"/>
    <w:rsid w:val="00272765"/>
    <w:rsid w:val="00274124"/>
    <w:rsid w:val="0027497D"/>
    <w:rsid w:val="0028009F"/>
    <w:rsid w:val="00280605"/>
    <w:rsid w:val="00281293"/>
    <w:rsid w:val="0028210C"/>
    <w:rsid w:val="0028266B"/>
    <w:rsid w:val="002838C0"/>
    <w:rsid w:val="00284E0D"/>
    <w:rsid w:val="00285E08"/>
    <w:rsid w:val="00290A36"/>
    <w:rsid w:val="002924C7"/>
    <w:rsid w:val="00296B07"/>
    <w:rsid w:val="002A1230"/>
    <w:rsid w:val="002A24BD"/>
    <w:rsid w:val="002A3D1F"/>
    <w:rsid w:val="002A4B10"/>
    <w:rsid w:val="002B640F"/>
    <w:rsid w:val="002B7C69"/>
    <w:rsid w:val="002C2578"/>
    <w:rsid w:val="002C2C46"/>
    <w:rsid w:val="002C3DCD"/>
    <w:rsid w:val="002C6B53"/>
    <w:rsid w:val="002C70A9"/>
    <w:rsid w:val="002C7E6A"/>
    <w:rsid w:val="002D4337"/>
    <w:rsid w:val="002E0EAD"/>
    <w:rsid w:val="002E3CAD"/>
    <w:rsid w:val="002E7A4C"/>
    <w:rsid w:val="002F5D7C"/>
    <w:rsid w:val="002F65C2"/>
    <w:rsid w:val="0030005D"/>
    <w:rsid w:val="0030009E"/>
    <w:rsid w:val="003019A3"/>
    <w:rsid w:val="00301A92"/>
    <w:rsid w:val="00302695"/>
    <w:rsid w:val="00303155"/>
    <w:rsid w:val="00303F32"/>
    <w:rsid w:val="00306492"/>
    <w:rsid w:val="00312330"/>
    <w:rsid w:val="00312EE6"/>
    <w:rsid w:val="00317A4E"/>
    <w:rsid w:val="003244B8"/>
    <w:rsid w:val="00325BE9"/>
    <w:rsid w:val="00326389"/>
    <w:rsid w:val="0033306D"/>
    <w:rsid w:val="003340AC"/>
    <w:rsid w:val="00335B42"/>
    <w:rsid w:val="003362C8"/>
    <w:rsid w:val="0033751A"/>
    <w:rsid w:val="003409E5"/>
    <w:rsid w:val="00343DA5"/>
    <w:rsid w:val="00346789"/>
    <w:rsid w:val="0035285D"/>
    <w:rsid w:val="00357FCB"/>
    <w:rsid w:val="003616F3"/>
    <w:rsid w:val="00362028"/>
    <w:rsid w:val="0036213E"/>
    <w:rsid w:val="00362427"/>
    <w:rsid w:val="0036282B"/>
    <w:rsid w:val="00364597"/>
    <w:rsid w:val="00365F98"/>
    <w:rsid w:val="00367295"/>
    <w:rsid w:val="00367DC3"/>
    <w:rsid w:val="00371717"/>
    <w:rsid w:val="00372506"/>
    <w:rsid w:val="00373490"/>
    <w:rsid w:val="00375B49"/>
    <w:rsid w:val="00381E15"/>
    <w:rsid w:val="00385647"/>
    <w:rsid w:val="00385A38"/>
    <w:rsid w:val="003870D9"/>
    <w:rsid w:val="00387551"/>
    <w:rsid w:val="00390311"/>
    <w:rsid w:val="003924EC"/>
    <w:rsid w:val="003941B0"/>
    <w:rsid w:val="0039495D"/>
    <w:rsid w:val="003A4F49"/>
    <w:rsid w:val="003B083E"/>
    <w:rsid w:val="003B453C"/>
    <w:rsid w:val="003B6C3D"/>
    <w:rsid w:val="003B74ED"/>
    <w:rsid w:val="003B7B8A"/>
    <w:rsid w:val="003C2716"/>
    <w:rsid w:val="003C55BB"/>
    <w:rsid w:val="003C6242"/>
    <w:rsid w:val="003C7AFB"/>
    <w:rsid w:val="003D0408"/>
    <w:rsid w:val="003D1F18"/>
    <w:rsid w:val="003D42CF"/>
    <w:rsid w:val="003D5E87"/>
    <w:rsid w:val="003D6425"/>
    <w:rsid w:val="003E3E0A"/>
    <w:rsid w:val="003F0733"/>
    <w:rsid w:val="003F233C"/>
    <w:rsid w:val="003F3230"/>
    <w:rsid w:val="003F547B"/>
    <w:rsid w:val="004008EA"/>
    <w:rsid w:val="00403547"/>
    <w:rsid w:val="004036F1"/>
    <w:rsid w:val="00407E80"/>
    <w:rsid w:val="004102C3"/>
    <w:rsid w:val="00410B9A"/>
    <w:rsid w:val="00412646"/>
    <w:rsid w:val="004132C1"/>
    <w:rsid w:val="00414284"/>
    <w:rsid w:val="00415A72"/>
    <w:rsid w:val="00416F06"/>
    <w:rsid w:val="00420106"/>
    <w:rsid w:val="004208F0"/>
    <w:rsid w:val="00420DD6"/>
    <w:rsid w:val="00421872"/>
    <w:rsid w:val="00421D8F"/>
    <w:rsid w:val="00421F4D"/>
    <w:rsid w:val="00422EB7"/>
    <w:rsid w:val="004304CA"/>
    <w:rsid w:val="004332D6"/>
    <w:rsid w:val="004336F8"/>
    <w:rsid w:val="004347E6"/>
    <w:rsid w:val="004376BB"/>
    <w:rsid w:val="0044020A"/>
    <w:rsid w:val="00440437"/>
    <w:rsid w:val="004444CE"/>
    <w:rsid w:val="00444988"/>
    <w:rsid w:val="00447093"/>
    <w:rsid w:val="0044776D"/>
    <w:rsid w:val="00451613"/>
    <w:rsid w:val="0045291F"/>
    <w:rsid w:val="0045332E"/>
    <w:rsid w:val="00456E7F"/>
    <w:rsid w:val="00460EBC"/>
    <w:rsid w:val="00462837"/>
    <w:rsid w:val="00463588"/>
    <w:rsid w:val="00466534"/>
    <w:rsid w:val="00470284"/>
    <w:rsid w:val="00471B8F"/>
    <w:rsid w:val="00473CBA"/>
    <w:rsid w:val="00474BB3"/>
    <w:rsid w:val="00477F66"/>
    <w:rsid w:val="00480322"/>
    <w:rsid w:val="004803B1"/>
    <w:rsid w:val="004818E9"/>
    <w:rsid w:val="004820B1"/>
    <w:rsid w:val="00483116"/>
    <w:rsid w:val="00483679"/>
    <w:rsid w:val="004865B9"/>
    <w:rsid w:val="004904D2"/>
    <w:rsid w:val="00492A05"/>
    <w:rsid w:val="0049697F"/>
    <w:rsid w:val="004A161B"/>
    <w:rsid w:val="004A1FF8"/>
    <w:rsid w:val="004A427E"/>
    <w:rsid w:val="004A4553"/>
    <w:rsid w:val="004A5EA4"/>
    <w:rsid w:val="004B1C5B"/>
    <w:rsid w:val="004B4BA4"/>
    <w:rsid w:val="004B7127"/>
    <w:rsid w:val="004C1150"/>
    <w:rsid w:val="004C1561"/>
    <w:rsid w:val="004C642B"/>
    <w:rsid w:val="004C6DE4"/>
    <w:rsid w:val="004D00E1"/>
    <w:rsid w:val="004D0CE1"/>
    <w:rsid w:val="004D417A"/>
    <w:rsid w:val="004D4F32"/>
    <w:rsid w:val="004E563F"/>
    <w:rsid w:val="004E6BC1"/>
    <w:rsid w:val="004F318C"/>
    <w:rsid w:val="004F36EB"/>
    <w:rsid w:val="004F4DA0"/>
    <w:rsid w:val="004F7E8E"/>
    <w:rsid w:val="00503F89"/>
    <w:rsid w:val="005047A2"/>
    <w:rsid w:val="005055BE"/>
    <w:rsid w:val="0050628A"/>
    <w:rsid w:val="00517B30"/>
    <w:rsid w:val="00517FBE"/>
    <w:rsid w:val="00521DEC"/>
    <w:rsid w:val="00523341"/>
    <w:rsid w:val="00523D3A"/>
    <w:rsid w:val="00523ED1"/>
    <w:rsid w:val="0052673E"/>
    <w:rsid w:val="00526D39"/>
    <w:rsid w:val="00527100"/>
    <w:rsid w:val="005354FA"/>
    <w:rsid w:val="00535D12"/>
    <w:rsid w:val="00536EBF"/>
    <w:rsid w:val="005525A3"/>
    <w:rsid w:val="0055306B"/>
    <w:rsid w:val="00554D92"/>
    <w:rsid w:val="00556267"/>
    <w:rsid w:val="00556A67"/>
    <w:rsid w:val="00556C12"/>
    <w:rsid w:val="005643DA"/>
    <w:rsid w:val="0056545B"/>
    <w:rsid w:val="0056655C"/>
    <w:rsid w:val="00572B12"/>
    <w:rsid w:val="00573C74"/>
    <w:rsid w:val="005741B2"/>
    <w:rsid w:val="0057500F"/>
    <w:rsid w:val="00575744"/>
    <w:rsid w:val="00575B8E"/>
    <w:rsid w:val="005767DF"/>
    <w:rsid w:val="00576EE3"/>
    <w:rsid w:val="00580628"/>
    <w:rsid w:val="0058312B"/>
    <w:rsid w:val="005831BE"/>
    <w:rsid w:val="005832E5"/>
    <w:rsid w:val="00584575"/>
    <w:rsid w:val="005849F6"/>
    <w:rsid w:val="00585D32"/>
    <w:rsid w:val="0058745F"/>
    <w:rsid w:val="00590FBE"/>
    <w:rsid w:val="00592C7D"/>
    <w:rsid w:val="00592E93"/>
    <w:rsid w:val="00593B6B"/>
    <w:rsid w:val="00594625"/>
    <w:rsid w:val="005A24FF"/>
    <w:rsid w:val="005A333D"/>
    <w:rsid w:val="005A7E62"/>
    <w:rsid w:val="005B5CC5"/>
    <w:rsid w:val="005B7732"/>
    <w:rsid w:val="005B7FB1"/>
    <w:rsid w:val="005C0C5C"/>
    <w:rsid w:val="005C30AB"/>
    <w:rsid w:val="005C30EB"/>
    <w:rsid w:val="005D01E0"/>
    <w:rsid w:val="005D173E"/>
    <w:rsid w:val="005D3159"/>
    <w:rsid w:val="005D39B2"/>
    <w:rsid w:val="005D4F27"/>
    <w:rsid w:val="005D6575"/>
    <w:rsid w:val="005D6902"/>
    <w:rsid w:val="005D72F0"/>
    <w:rsid w:val="005D7A15"/>
    <w:rsid w:val="005E0570"/>
    <w:rsid w:val="005E3569"/>
    <w:rsid w:val="005E6541"/>
    <w:rsid w:val="005E746F"/>
    <w:rsid w:val="005F006E"/>
    <w:rsid w:val="005F2057"/>
    <w:rsid w:val="005F25A2"/>
    <w:rsid w:val="005F28C6"/>
    <w:rsid w:val="005F360E"/>
    <w:rsid w:val="005F7300"/>
    <w:rsid w:val="00601818"/>
    <w:rsid w:val="00603CBC"/>
    <w:rsid w:val="00604305"/>
    <w:rsid w:val="006047D9"/>
    <w:rsid w:val="00607BF2"/>
    <w:rsid w:val="006106E3"/>
    <w:rsid w:val="006119E6"/>
    <w:rsid w:val="00614A5A"/>
    <w:rsid w:val="00614F58"/>
    <w:rsid w:val="00616F62"/>
    <w:rsid w:val="0062090E"/>
    <w:rsid w:val="00620989"/>
    <w:rsid w:val="00620C67"/>
    <w:rsid w:val="00622DDC"/>
    <w:rsid w:val="0062310F"/>
    <w:rsid w:val="00623EF2"/>
    <w:rsid w:val="00626708"/>
    <w:rsid w:val="0062713E"/>
    <w:rsid w:val="006276BD"/>
    <w:rsid w:val="00632EF9"/>
    <w:rsid w:val="00634DD9"/>
    <w:rsid w:val="00637BF5"/>
    <w:rsid w:val="00641BF8"/>
    <w:rsid w:val="00642C1E"/>
    <w:rsid w:val="00643394"/>
    <w:rsid w:val="00643947"/>
    <w:rsid w:val="0065000B"/>
    <w:rsid w:val="00651BC9"/>
    <w:rsid w:val="00651E3F"/>
    <w:rsid w:val="00652605"/>
    <w:rsid w:val="00654F1B"/>
    <w:rsid w:val="00657AE9"/>
    <w:rsid w:val="00660687"/>
    <w:rsid w:val="00660862"/>
    <w:rsid w:val="00661037"/>
    <w:rsid w:val="006617B6"/>
    <w:rsid w:val="00665948"/>
    <w:rsid w:val="0066661D"/>
    <w:rsid w:val="00670245"/>
    <w:rsid w:val="0067127E"/>
    <w:rsid w:val="00671327"/>
    <w:rsid w:val="006716D8"/>
    <w:rsid w:val="00671BD9"/>
    <w:rsid w:val="0067231F"/>
    <w:rsid w:val="0067308A"/>
    <w:rsid w:val="0067311C"/>
    <w:rsid w:val="0067338A"/>
    <w:rsid w:val="006815BA"/>
    <w:rsid w:val="006878EB"/>
    <w:rsid w:val="00691437"/>
    <w:rsid w:val="006936CB"/>
    <w:rsid w:val="00693795"/>
    <w:rsid w:val="00696B5C"/>
    <w:rsid w:val="0069707B"/>
    <w:rsid w:val="00697415"/>
    <w:rsid w:val="00697A69"/>
    <w:rsid w:val="006A0B9A"/>
    <w:rsid w:val="006A2DB1"/>
    <w:rsid w:val="006B0EDC"/>
    <w:rsid w:val="006B47F5"/>
    <w:rsid w:val="006B48C0"/>
    <w:rsid w:val="006B5909"/>
    <w:rsid w:val="006C0928"/>
    <w:rsid w:val="006C2D27"/>
    <w:rsid w:val="006C452A"/>
    <w:rsid w:val="006C4C7B"/>
    <w:rsid w:val="006C603D"/>
    <w:rsid w:val="006C6BF9"/>
    <w:rsid w:val="006D10F9"/>
    <w:rsid w:val="006D1154"/>
    <w:rsid w:val="006D487D"/>
    <w:rsid w:val="006D489A"/>
    <w:rsid w:val="006D4D50"/>
    <w:rsid w:val="006D7940"/>
    <w:rsid w:val="006E0840"/>
    <w:rsid w:val="006E36C8"/>
    <w:rsid w:val="006E402E"/>
    <w:rsid w:val="006E6BA6"/>
    <w:rsid w:val="006F15D0"/>
    <w:rsid w:val="006F2408"/>
    <w:rsid w:val="006F45C3"/>
    <w:rsid w:val="006F4750"/>
    <w:rsid w:val="007025CE"/>
    <w:rsid w:val="00703094"/>
    <w:rsid w:val="00710271"/>
    <w:rsid w:val="007112F5"/>
    <w:rsid w:val="0071262E"/>
    <w:rsid w:val="00714D9B"/>
    <w:rsid w:val="00714FEF"/>
    <w:rsid w:val="0071564C"/>
    <w:rsid w:val="00716B2C"/>
    <w:rsid w:val="0072301B"/>
    <w:rsid w:val="007238AF"/>
    <w:rsid w:val="0072425A"/>
    <w:rsid w:val="00730147"/>
    <w:rsid w:val="007306EE"/>
    <w:rsid w:val="00732E14"/>
    <w:rsid w:val="007364EE"/>
    <w:rsid w:val="0073695F"/>
    <w:rsid w:val="00740373"/>
    <w:rsid w:val="007408EC"/>
    <w:rsid w:val="00743D1C"/>
    <w:rsid w:val="00744B19"/>
    <w:rsid w:val="0074617F"/>
    <w:rsid w:val="007468A9"/>
    <w:rsid w:val="00752302"/>
    <w:rsid w:val="007536C9"/>
    <w:rsid w:val="0075550D"/>
    <w:rsid w:val="007557E7"/>
    <w:rsid w:val="007563BA"/>
    <w:rsid w:val="00765EE8"/>
    <w:rsid w:val="00766CA3"/>
    <w:rsid w:val="00767EDF"/>
    <w:rsid w:val="00772E1C"/>
    <w:rsid w:val="00773981"/>
    <w:rsid w:val="00773E84"/>
    <w:rsid w:val="00775E17"/>
    <w:rsid w:val="007774AB"/>
    <w:rsid w:val="00780741"/>
    <w:rsid w:val="007808CA"/>
    <w:rsid w:val="00781A0E"/>
    <w:rsid w:val="00781B69"/>
    <w:rsid w:val="00785863"/>
    <w:rsid w:val="00785C20"/>
    <w:rsid w:val="0078618D"/>
    <w:rsid w:val="00787AC8"/>
    <w:rsid w:val="00790E72"/>
    <w:rsid w:val="007966EE"/>
    <w:rsid w:val="007A0AF3"/>
    <w:rsid w:val="007A5A56"/>
    <w:rsid w:val="007B1877"/>
    <w:rsid w:val="007B5540"/>
    <w:rsid w:val="007B5B69"/>
    <w:rsid w:val="007B7610"/>
    <w:rsid w:val="007C0592"/>
    <w:rsid w:val="007C137B"/>
    <w:rsid w:val="007C50D9"/>
    <w:rsid w:val="007C5506"/>
    <w:rsid w:val="007C6951"/>
    <w:rsid w:val="007D091A"/>
    <w:rsid w:val="007D1C6A"/>
    <w:rsid w:val="007D6125"/>
    <w:rsid w:val="007E32E4"/>
    <w:rsid w:val="007E3F36"/>
    <w:rsid w:val="007E481C"/>
    <w:rsid w:val="007E7049"/>
    <w:rsid w:val="007F2058"/>
    <w:rsid w:val="007F2F7C"/>
    <w:rsid w:val="007F3468"/>
    <w:rsid w:val="007F3DAA"/>
    <w:rsid w:val="007F5010"/>
    <w:rsid w:val="00800699"/>
    <w:rsid w:val="0080390B"/>
    <w:rsid w:val="00803F85"/>
    <w:rsid w:val="00813233"/>
    <w:rsid w:val="0081345B"/>
    <w:rsid w:val="008201B0"/>
    <w:rsid w:val="0082177C"/>
    <w:rsid w:val="00822CAC"/>
    <w:rsid w:val="00824CA9"/>
    <w:rsid w:val="00825FF0"/>
    <w:rsid w:val="00834C79"/>
    <w:rsid w:val="00837F02"/>
    <w:rsid w:val="00840EBF"/>
    <w:rsid w:val="00841A43"/>
    <w:rsid w:val="00843396"/>
    <w:rsid w:val="00843788"/>
    <w:rsid w:val="0084428C"/>
    <w:rsid w:val="00863D1D"/>
    <w:rsid w:val="0086462B"/>
    <w:rsid w:val="00865159"/>
    <w:rsid w:val="008664A5"/>
    <w:rsid w:val="00867257"/>
    <w:rsid w:val="008711B3"/>
    <w:rsid w:val="00872FFF"/>
    <w:rsid w:val="00874110"/>
    <w:rsid w:val="008850C5"/>
    <w:rsid w:val="008850E3"/>
    <w:rsid w:val="00885DC7"/>
    <w:rsid w:val="00885EC1"/>
    <w:rsid w:val="00886084"/>
    <w:rsid w:val="00887065"/>
    <w:rsid w:val="00890DD5"/>
    <w:rsid w:val="00891001"/>
    <w:rsid w:val="008910AF"/>
    <w:rsid w:val="0089226A"/>
    <w:rsid w:val="008923CE"/>
    <w:rsid w:val="008939DC"/>
    <w:rsid w:val="008944C8"/>
    <w:rsid w:val="0089750F"/>
    <w:rsid w:val="008A1015"/>
    <w:rsid w:val="008A26E7"/>
    <w:rsid w:val="008A2797"/>
    <w:rsid w:val="008A2E00"/>
    <w:rsid w:val="008A3B93"/>
    <w:rsid w:val="008A4551"/>
    <w:rsid w:val="008B10DD"/>
    <w:rsid w:val="008B21BA"/>
    <w:rsid w:val="008B5A88"/>
    <w:rsid w:val="008B69A2"/>
    <w:rsid w:val="008C0211"/>
    <w:rsid w:val="008C0910"/>
    <w:rsid w:val="008C34C0"/>
    <w:rsid w:val="008C66B1"/>
    <w:rsid w:val="008C71FD"/>
    <w:rsid w:val="008D1976"/>
    <w:rsid w:val="008D4325"/>
    <w:rsid w:val="008D5290"/>
    <w:rsid w:val="008D747E"/>
    <w:rsid w:val="008E32D6"/>
    <w:rsid w:val="008E4EE5"/>
    <w:rsid w:val="008E5C7D"/>
    <w:rsid w:val="008E6785"/>
    <w:rsid w:val="008E792C"/>
    <w:rsid w:val="008F0641"/>
    <w:rsid w:val="008F0F82"/>
    <w:rsid w:val="008F19EA"/>
    <w:rsid w:val="008F1A7C"/>
    <w:rsid w:val="008F35B2"/>
    <w:rsid w:val="008F391D"/>
    <w:rsid w:val="008F3CD0"/>
    <w:rsid w:val="008F411E"/>
    <w:rsid w:val="008F43F5"/>
    <w:rsid w:val="008F5885"/>
    <w:rsid w:val="008F68AE"/>
    <w:rsid w:val="0090069A"/>
    <w:rsid w:val="009006D0"/>
    <w:rsid w:val="0090413E"/>
    <w:rsid w:val="00905038"/>
    <w:rsid w:val="009061DD"/>
    <w:rsid w:val="00906CB0"/>
    <w:rsid w:val="00907112"/>
    <w:rsid w:val="0091072A"/>
    <w:rsid w:val="00911BDA"/>
    <w:rsid w:val="00912AA2"/>
    <w:rsid w:val="00913FF4"/>
    <w:rsid w:val="00914177"/>
    <w:rsid w:val="00917F39"/>
    <w:rsid w:val="00924636"/>
    <w:rsid w:val="009251F7"/>
    <w:rsid w:val="00931038"/>
    <w:rsid w:val="00933028"/>
    <w:rsid w:val="009340C8"/>
    <w:rsid w:val="00941AED"/>
    <w:rsid w:val="009428D6"/>
    <w:rsid w:val="0094327D"/>
    <w:rsid w:val="009450E3"/>
    <w:rsid w:val="009500AB"/>
    <w:rsid w:val="009507C6"/>
    <w:rsid w:val="009516B8"/>
    <w:rsid w:val="00952C81"/>
    <w:rsid w:val="0095412F"/>
    <w:rsid w:val="00955CBF"/>
    <w:rsid w:val="0095635E"/>
    <w:rsid w:val="0095783E"/>
    <w:rsid w:val="00961DAD"/>
    <w:rsid w:val="00962E4C"/>
    <w:rsid w:val="00966DAA"/>
    <w:rsid w:val="00967E90"/>
    <w:rsid w:val="0097179A"/>
    <w:rsid w:val="00972241"/>
    <w:rsid w:val="00974EF3"/>
    <w:rsid w:val="009767E2"/>
    <w:rsid w:val="0098077B"/>
    <w:rsid w:val="00980E87"/>
    <w:rsid w:val="0098270B"/>
    <w:rsid w:val="0098304C"/>
    <w:rsid w:val="00986B7B"/>
    <w:rsid w:val="00987DA2"/>
    <w:rsid w:val="00991799"/>
    <w:rsid w:val="009932CC"/>
    <w:rsid w:val="0099389E"/>
    <w:rsid w:val="00993A0C"/>
    <w:rsid w:val="00994A0A"/>
    <w:rsid w:val="009A0045"/>
    <w:rsid w:val="009A313C"/>
    <w:rsid w:val="009A514F"/>
    <w:rsid w:val="009B0AF4"/>
    <w:rsid w:val="009B6B85"/>
    <w:rsid w:val="009C0E99"/>
    <w:rsid w:val="009C12F4"/>
    <w:rsid w:val="009C203B"/>
    <w:rsid w:val="009C48D8"/>
    <w:rsid w:val="009C53F9"/>
    <w:rsid w:val="009C737D"/>
    <w:rsid w:val="009C75B3"/>
    <w:rsid w:val="009D099E"/>
    <w:rsid w:val="009D1C19"/>
    <w:rsid w:val="009D5E31"/>
    <w:rsid w:val="009D6AF2"/>
    <w:rsid w:val="009D6CB1"/>
    <w:rsid w:val="009D71F6"/>
    <w:rsid w:val="009E0999"/>
    <w:rsid w:val="009E1181"/>
    <w:rsid w:val="009E2EA2"/>
    <w:rsid w:val="009E31F9"/>
    <w:rsid w:val="009E35CB"/>
    <w:rsid w:val="009E3B41"/>
    <w:rsid w:val="009E5074"/>
    <w:rsid w:val="009E5124"/>
    <w:rsid w:val="009E5173"/>
    <w:rsid w:val="009E5401"/>
    <w:rsid w:val="009E5603"/>
    <w:rsid w:val="009E6F55"/>
    <w:rsid w:val="009F0776"/>
    <w:rsid w:val="009F25FD"/>
    <w:rsid w:val="009F2BE2"/>
    <w:rsid w:val="009F3533"/>
    <w:rsid w:val="009F4F4F"/>
    <w:rsid w:val="009F542A"/>
    <w:rsid w:val="009F62B4"/>
    <w:rsid w:val="009F77EE"/>
    <w:rsid w:val="009F7D7C"/>
    <w:rsid w:val="00A005C5"/>
    <w:rsid w:val="00A01177"/>
    <w:rsid w:val="00A0140E"/>
    <w:rsid w:val="00A0564B"/>
    <w:rsid w:val="00A064CD"/>
    <w:rsid w:val="00A10758"/>
    <w:rsid w:val="00A13D2E"/>
    <w:rsid w:val="00A14B15"/>
    <w:rsid w:val="00A15EB9"/>
    <w:rsid w:val="00A16B91"/>
    <w:rsid w:val="00A2023F"/>
    <w:rsid w:val="00A2663B"/>
    <w:rsid w:val="00A30C1B"/>
    <w:rsid w:val="00A30F2B"/>
    <w:rsid w:val="00A36C9A"/>
    <w:rsid w:val="00A4039B"/>
    <w:rsid w:val="00A4089A"/>
    <w:rsid w:val="00A422EC"/>
    <w:rsid w:val="00A426E3"/>
    <w:rsid w:val="00A468C3"/>
    <w:rsid w:val="00A46C75"/>
    <w:rsid w:val="00A50E01"/>
    <w:rsid w:val="00A52297"/>
    <w:rsid w:val="00A56593"/>
    <w:rsid w:val="00A57DF3"/>
    <w:rsid w:val="00A663EA"/>
    <w:rsid w:val="00A678AE"/>
    <w:rsid w:val="00A715D9"/>
    <w:rsid w:val="00A71D19"/>
    <w:rsid w:val="00A75670"/>
    <w:rsid w:val="00A80513"/>
    <w:rsid w:val="00A80EFE"/>
    <w:rsid w:val="00A81D28"/>
    <w:rsid w:val="00A84137"/>
    <w:rsid w:val="00A85CD1"/>
    <w:rsid w:val="00A85E66"/>
    <w:rsid w:val="00A8729C"/>
    <w:rsid w:val="00A87900"/>
    <w:rsid w:val="00A912FA"/>
    <w:rsid w:val="00A920D2"/>
    <w:rsid w:val="00A92C2A"/>
    <w:rsid w:val="00A937CC"/>
    <w:rsid w:val="00A9496D"/>
    <w:rsid w:val="00A95BF2"/>
    <w:rsid w:val="00AA0205"/>
    <w:rsid w:val="00AA1F5F"/>
    <w:rsid w:val="00AA2426"/>
    <w:rsid w:val="00AA2E5C"/>
    <w:rsid w:val="00AA33E9"/>
    <w:rsid w:val="00AA36B6"/>
    <w:rsid w:val="00AA625A"/>
    <w:rsid w:val="00AB530C"/>
    <w:rsid w:val="00AC0F30"/>
    <w:rsid w:val="00AC30B4"/>
    <w:rsid w:val="00AC325D"/>
    <w:rsid w:val="00AC4199"/>
    <w:rsid w:val="00AC606B"/>
    <w:rsid w:val="00AC6542"/>
    <w:rsid w:val="00AC7183"/>
    <w:rsid w:val="00AD285D"/>
    <w:rsid w:val="00AD291C"/>
    <w:rsid w:val="00AD70F6"/>
    <w:rsid w:val="00AD74D9"/>
    <w:rsid w:val="00AE0255"/>
    <w:rsid w:val="00AE0421"/>
    <w:rsid w:val="00AE2087"/>
    <w:rsid w:val="00AE30A7"/>
    <w:rsid w:val="00AE3B04"/>
    <w:rsid w:val="00AE3FDE"/>
    <w:rsid w:val="00AF116C"/>
    <w:rsid w:val="00AF3728"/>
    <w:rsid w:val="00AF3D5F"/>
    <w:rsid w:val="00B05A86"/>
    <w:rsid w:val="00B065C7"/>
    <w:rsid w:val="00B06741"/>
    <w:rsid w:val="00B07153"/>
    <w:rsid w:val="00B07C22"/>
    <w:rsid w:val="00B11F24"/>
    <w:rsid w:val="00B12912"/>
    <w:rsid w:val="00B12BE0"/>
    <w:rsid w:val="00B17CC9"/>
    <w:rsid w:val="00B20DF6"/>
    <w:rsid w:val="00B22491"/>
    <w:rsid w:val="00B234E6"/>
    <w:rsid w:val="00B242C7"/>
    <w:rsid w:val="00B265D9"/>
    <w:rsid w:val="00B31303"/>
    <w:rsid w:val="00B327E9"/>
    <w:rsid w:val="00B331CA"/>
    <w:rsid w:val="00B34CE3"/>
    <w:rsid w:val="00B352C3"/>
    <w:rsid w:val="00B3665A"/>
    <w:rsid w:val="00B36C2C"/>
    <w:rsid w:val="00B37BF2"/>
    <w:rsid w:val="00B37DE3"/>
    <w:rsid w:val="00B40BB1"/>
    <w:rsid w:val="00B414D3"/>
    <w:rsid w:val="00B41681"/>
    <w:rsid w:val="00B45A42"/>
    <w:rsid w:val="00B47227"/>
    <w:rsid w:val="00B5254E"/>
    <w:rsid w:val="00B53076"/>
    <w:rsid w:val="00B56C1F"/>
    <w:rsid w:val="00B6133B"/>
    <w:rsid w:val="00B61E88"/>
    <w:rsid w:val="00B635D2"/>
    <w:rsid w:val="00B63891"/>
    <w:rsid w:val="00B6644D"/>
    <w:rsid w:val="00B704A6"/>
    <w:rsid w:val="00B708F6"/>
    <w:rsid w:val="00B73033"/>
    <w:rsid w:val="00B73B5D"/>
    <w:rsid w:val="00B74D25"/>
    <w:rsid w:val="00B74D6C"/>
    <w:rsid w:val="00B75C2E"/>
    <w:rsid w:val="00B76D3F"/>
    <w:rsid w:val="00B80E87"/>
    <w:rsid w:val="00B813DB"/>
    <w:rsid w:val="00B8501C"/>
    <w:rsid w:val="00B85F8D"/>
    <w:rsid w:val="00B866AD"/>
    <w:rsid w:val="00B9099B"/>
    <w:rsid w:val="00B93770"/>
    <w:rsid w:val="00BA1498"/>
    <w:rsid w:val="00BA6322"/>
    <w:rsid w:val="00BA761E"/>
    <w:rsid w:val="00BB3B03"/>
    <w:rsid w:val="00BB4C68"/>
    <w:rsid w:val="00BB5988"/>
    <w:rsid w:val="00BC0ADA"/>
    <w:rsid w:val="00BC0F7F"/>
    <w:rsid w:val="00BC1AC4"/>
    <w:rsid w:val="00BC3411"/>
    <w:rsid w:val="00BC5E43"/>
    <w:rsid w:val="00BD08E7"/>
    <w:rsid w:val="00BD1D33"/>
    <w:rsid w:val="00BD1EFC"/>
    <w:rsid w:val="00BE5C0D"/>
    <w:rsid w:val="00BE5C16"/>
    <w:rsid w:val="00BE5C35"/>
    <w:rsid w:val="00BE63FD"/>
    <w:rsid w:val="00BF002D"/>
    <w:rsid w:val="00BF06DF"/>
    <w:rsid w:val="00BF106A"/>
    <w:rsid w:val="00BF1BC9"/>
    <w:rsid w:val="00BF2272"/>
    <w:rsid w:val="00C00D04"/>
    <w:rsid w:val="00C02C07"/>
    <w:rsid w:val="00C05169"/>
    <w:rsid w:val="00C05CDC"/>
    <w:rsid w:val="00C0686C"/>
    <w:rsid w:val="00C06D1E"/>
    <w:rsid w:val="00C07D08"/>
    <w:rsid w:val="00C1233B"/>
    <w:rsid w:val="00C12588"/>
    <w:rsid w:val="00C13AB2"/>
    <w:rsid w:val="00C13FD6"/>
    <w:rsid w:val="00C16043"/>
    <w:rsid w:val="00C207DF"/>
    <w:rsid w:val="00C208F9"/>
    <w:rsid w:val="00C225F7"/>
    <w:rsid w:val="00C277A7"/>
    <w:rsid w:val="00C279AD"/>
    <w:rsid w:val="00C31FF9"/>
    <w:rsid w:val="00C3222B"/>
    <w:rsid w:val="00C334B5"/>
    <w:rsid w:val="00C338E1"/>
    <w:rsid w:val="00C33ECA"/>
    <w:rsid w:val="00C3637E"/>
    <w:rsid w:val="00C3672A"/>
    <w:rsid w:val="00C4156C"/>
    <w:rsid w:val="00C4216C"/>
    <w:rsid w:val="00C427BB"/>
    <w:rsid w:val="00C429AD"/>
    <w:rsid w:val="00C43E1E"/>
    <w:rsid w:val="00C43EE5"/>
    <w:rsid w:val="00C44DCA"/>
    <w:rsid w:val="00C50CC3"/>
    <w:rsid w:val="00C52D60"/>
    <w:rsid w:val="00C53B21"/>
    <w:rsid w:val="00C53E17"/>
    <w:rsid w:val="00C55878"/>
    <w:rsid w:val="00C56D98"/>
    <w:rsid w:val="00C577C1"/>
    <w:rsid w:val="00C64BC5"/>
    <w:rsid w:val="00C64ED3"/>
    <w:rsid w:val="00C65909"/>
    <w:rsid w:val="00C6717F"/>
    <w:rsid w:val="00C679EA"/>
    <w:rsid w:val="00C701A1"/>
    <w:rsid w:val="00C719A4"/>
    <w:rsid w:val="00C76925"/>
    <w:rsid w:val="00C77D23"/>
    <w:rsid w:val="00C807E4"/>
    <w:rsid w:val="00C845D0"/>
    <w:rsid w:val="00C85165"/>
    <w:rsid w:val="00C857A2"/>
    <w:rsid w:val="00C871DE"/>
    <w:rsid w:val="00C9745D"/>
    <w:rsid w:val="00C97533"/>
    <w:rsid w:val="00CA0599"/>
    <w:rsid w:val="00CA2F85"/>
    <w:rsid w:val="00CA4801"/>
    <w:rsid w:val="00CA5A16"/>
    <w:rsid w:val="00CA795D"/>
    <w:rsid w:val="00CB21D9"/>
    <w:rsid w:val="00CB225E"/>
    <w:rsid w:val="00CC2F31"/>
    <w:rsid w:val="00CC368E"/>
    <w:rsid w:val="00CC40B0"/>
    <w:rsid w:val="00CC4C35"/>
    <w:rsid w:val="00CC5512"/>
    <w:rsid w:val="00CC64F3"/>
    <w:rsid w:val="00CC6FDE"/>
    <w:rsid w:val="00CD0CD2"/>
    <w:rsid w:val="00CD3938"/>
    <w:rsid w:val="00CD41A5"/>
    <w:rsid w:val="00CD45E8"/>
    <w:rsid w:val="00CD4F50"/>
    <w:rsid w:val="00CE045B"/>
    <w:rsid w:val="00CE55EF"/>
    <w:rsid w:val="00CE5F9D"/>
    <w:rsid w:val="00CE6C2D"/>
    <w:rsid w:val="00CE71D0"/>
    <w:rsid w:val="00CF02A0"/>
    <w:rsid w:val="00CF3F4B"/>
    <w:rsid w:val="00CF6A26"/>
    <w:rsid w:val="00CF6B0B"/>
    <w:rsid w:val="00CF6B27"/>
    <w:rsid w:val="00CF72AD"/>
    <w:rsid w:val="00D02CEC"/>
    <w:rsid w:val="00D03047"/>
    <w:rsid w:val="00D035E2"/>
    <w:rsid w:val="00D11267"/>
    <w:rsid w:val="00D12069"/>
    <w:rsid w:val="00D129EA"/>
    <w:rsid w:val="00D17FD9"/>
    <w:rsid w:val="00D20C07"/>
    <w:rsid w:val="00D20DA0"/>
    <w:rsid w:val="00D2102E"/>
    <w:rsid w:val="00D22865"/>
    <w:rsid w:val="00D234EB"/>
    <w:rsid w:val="00D26CBE"/>
    <w:rsid w:val="00D34B10"/>
    <w:rsid w:val="00D364C5"/>
    <w:rsid w:val="00D36C0F"/>
    <w:rsid w:val="00D3704B"/>
    <w:rsid w:val="00D376BD"/>
    <w:rsid w:val="00D421FC"/>
    <w:rsid w:val="00D43262"/>
    <w:rsid w:val="00D43A25"/>
    <w:rsid w:val="00D43C24"/>
    <w:rsid w:val="00D471CF"/>
    <w:rsid w:val="00D506DB"/>
    <w:rsid w:val="00D5096F"/>
    <w:rsid w:val="00D5177F"/>
    <w:rsid w:val="00D51904"/>
    <w:rsid w:val="00D5490F"/>
    <w:rsid w:val="00D615B2"/>
    <w:rsid w:val="00D6213C"/>
    <w:rsid w:val="00D65F07"/>
    <w:rsid w:val="00D7059D"/>
    <w:rsid w:val="00D76914"/>
    <w:rsid w:val="00D80FF7"/>
    <w:rsid w:val="00D824A2"/>
    <w:rsid w:val="00D83DE4"/>
    <w:rsid w:val="00D850E4"/>
    <w:rsid w:val="00D8567F"/>
    <w:rsid w:val="00D856A8"/>
    <w:rsid w:val="00D866E4"/>
    <w:rsid w:val="00D87F6A"/>
    <w:rsid w:val="00D90C02"/>
    <w:rsid w:val="00D9173E"/>
    <w:rsid w:val="00D91D63"/>
    <w:rsid w:val="00D92057"/>
    <w:rsid w:val="00D94548"/>
    <w:rsid w:val="00D94728"/>
    <w:rsid w:val="00DA11E2"/>
    <w:rsid w:val="00DA2F10"/>
    <w:rsid w:val="00DA3524"/>
    <w:rsid w:val="00DA703E"/>
    <w:rsid w:val="00DA78D8"/>
    <w:rsid w:val="00DA7C38"/>
    <w:rsid w:val="00DA7F66"/>
    <w:rsid w:val="00DB0569"/>
    <w:rsid w:val="00DB0C7B"/>
    <w:rsid w:val="00DB14B8"/>
    <w:rsid w:val="00DB2786"/>
    <w:rsid w:val="00DB43C2"/>
    <w:rsid w:val="00DB7FFE"/>
    <w:rsid w:val="00DC105C"/>
    <w:rsid w:val="00DC2279"/>
    <w:rsid w:val="00DC2C21"/>
    <w:rsid w:val="00DC2F1E"/>
    <w:rsid w:val="00DC7B22"/>
    <w:rsid w:val="00DD351A"/>
    <w:rsid w:val="00DD3D43"/>
    <w:rsid w:val="00DD6754"/>
    <w:rsid w:val="00DD7F01"/>
    <w:rsid w:val="00DE2283"/>
    <w:rsid w:val="00DE3584"/>
    <w:rsid w:val="00DE4B73"/>
    <w:rsid w:val="00DE5879"/>
    <w:rsid w:val="00DE6C7B"/>
    <w:rsid w:val="00DE79EF"/>
    <w:rsid w:val="00DF177B"/>
    <w:rsid w:val="00DF1BE3"/>
    <w:rsid w:val="00DF250C"/>
    <w:rsid w:val="00DF2E3C"/>
    <w:rsid w:val="00DF3817"/>
    <w:rsid w:val="00DF45EC"/>
    <w:rsid w:val="00DF6DD9"/>
    <w:rsid w:val="00DF7212"/>
    <w:rsid w:val="00DF75B7"/>
    <w:rsid w:val="00E00F86"/>
    <w:rsid w:val="00E0238B"/>
    <w:rsid w:val="00E0489C"/>
    <w:rsid w:val="00E05644"/>
    <w:rsid w:val="00E05F01"/>
    <w:rsid w:val="00E138EE"/>
    <w:rsid w:val="00E1598E"/>
    <w:rsid w:val="00E17BBE"/>
    <w:rsid w:val="00E17E0A"/>
    <w:rsid w:val="00E21907"/>
    <w:rsid w:val="00E243B3"/>
    <w:rsid w:val="00E24CF4"/>
    <w:rsid w:val="00E25CFC"/>
    <w:rsid w:val="00E25E1D"/>
    <w:rsid w:val="00E336B4"/>
    <w:rsid w:val="00E33D9F"/>
    <w:rsid w:val="00E3458D"/>
    <w:rsid w:val="00E3492C"/>
    <w:rsid w:val="00E3591C"/>
    <w:rsid w:val="00E452A8"/>
    <w:rsid w:val="00E46410"/>
    <w:rsid w:val="00E5591D"/>
    <w:rsid w:val="00E55A65"/>
    <w:rsid w:val="00E60B65"/>
    <w:rsid w:val="00E6197D"/>
    <w:rsid w:val="00E61CAD"/>
    <w:rsid w:val="00E64362"/>
    <w:rsid w:val="00E66BEF"/>
    <w:rsid w:val="00E70A04"/>
    <w:rsid w:val="00E70CEF"/>
    <w:rsid w:val="00E75D26"/>
    <w:rsid w:val="00E75E8C"/>
    <w:rsid w:val="00E76CD0"/>
    <w:rsid w:val="00E82B78"/>
    <w:rsid w:val="00E83303"/>
    <w:rsid w:val="00E837C4"/>
    <w:rsid w:val="00E839A6"/>
    <w:rsid w:val="00E84352"/>
    <w:rsid w:val="00E856CE"/>
    <w:rsid w:val="00E867B9"/>
    <w:rsid w:val="00E87DDC"/>
    <w:rsid w:val="00E922E5"/>
    <w:rsid w:val="00E924BD"/>
    <w:rsid w:val="00E9263F"/>
    <w:rsid w:val="00E92876"/>
    <w:rsid w:val="00E974C3"/>
    <w:rsid w:val="00EA0788"/>
    <w:rsid w:val="00EA1227"/>
    <w:rsid w:val="00EA4B47"/>
    <w:rsid w:val="00EA7F97"/>
    <w:rsid w:val="00EB24E7"/>
    <w:rsid w:val="00EB540B"/>
    <w:rsid w:val="00EC13D3"/>
    <w:rsid w:val="00EC3D2E"/>
    <w:rsid w:val="00EC4EE7"/>
    <w:rsid w:val="00EC5176"/>
    <w:rsid w:val="00EC5C50"/>
    <w:rsid w:val="00EC66C9"/>
    <w:rsid w:val="00ED0324"/>
    <w:rsid w:val="00ED2F31"/>
    <w:rsid w:val="00ED37CD"/>
    <w:rsid w:val="00ED3883"/>
    <w:rsid w:val="00ED41C6"/>
    <w:rsid w:val="00ED695B"/>
    <w:rsid w:val="00ED70ED"/>
    <w:rsid w:val="00ED7B26"/>
    <w:rsid w:val="00EE094A"/>
    <w:rsid w:val="00EE0DFE"/>
    <w:rsid w:val="00EE1462"/>
    <w:rsid w:val="00EE1D51"/>
    <w:rsid w:val="00EE33F8"/>
    <w:rsid w:val="00EE4E8A"/>
    <w:rsid w:val="00EE6216"/>
    <w:rsid w:val="00EE75F7"/>
    <w:rsid w:val="00EE78BA"/>
    <w:rsid w:val="00EF4696"/>
    <w:rsid w:val="00EF5767"/>
    <w:rsid w:val="00EF7223"/>
    <w:rsid w:val="00F02349"/>
    <w:rsid w:val="00F0259E"/>
    <w:rsid w:val="00F026A3"/>
    <w:rsid w:val="00F02FA7"/>
    <w:rsid w:val="00F03D97"/>
    <w:rsid w:val="00F047C5"/>
    <w:rsid w:val="00F052EA"/>
    <w:rsid w:val="00F12322"/>
    <w:rsid w:val="00F152C7"/>
    <w:rsid w:val="00F15F2A"/>
    <w:rsid w:val="00F213EE"/>
    <w:rsid w:val="00F21B2A"/>
    <w:rsid w:val="00F23860"/>
    <w:rsid w:val="00F26D04"/>
    <w:rsid w:val="00F31DCE"/>
    <w:rsid w:val="00F32F28"/>
    <w:rsid w:val="00F32F66"/>
    <w:rsid w:val="00F36743"/>
    <w:rsid w:val="00F44A93"/>
    <w:rsid w:val="00F45756"/>
    <w:rsid w:val="00F45CAF"/>
    <w:rsid w:val="00F46D99"/>
    <w:rsid w:val="00F527AA"/>
    <w:rsid w:val="00F52C51"/>
    <w:rsid w:val="00F54300"/>
    <w:rsid w:val="00F55072"/>
    <w:rsid w:val="00F60C1E"/>
    <w:rsid w:val="00F62282"/>
    <w:rsid w:val="00F62A80"/>
    <w:rsid w:val="00F63602"/>
    <w:rsid w:val="00F64D2A"/>
    <w:rsid w:val="00F64E32"/>
    <w:rsid w:val="00F668BB"/>
    <w:rsid w:val="00F66A10"/>
    <w:rsid w:val="00F6736A"/>
    <w:rsid w:val="00F703E0"/>
    <w:rsid w:val="00F70AAC"/>
    <w:rsid w:val="00F70B86"/>
    <w:rsid w:val="00F7130B"/>
    <w:rsid w:val="00F71A2A"/>
    <w:rsid w:val="00F7228E"/>
    <w:rsid w:val="00F72760"/>
    <w:rsid w:val="00F730D5"/>
    <w:rsid w:val="00F738EF"/>
    <w:rsid w:val="00F73AFC"/>
    <w:rsid w:val="00F73EE2"/>
    <w:rsid w:val="00F74AA9"/>
    <w:rsid w:val="00F7669C"/>
    <w:rsid w:val="00F777F3"/>
    <w:rsid w:val="00F83C7D"/>
    <w:rsid w:val="00F84A0C"/>
    <w:rsid w:val="00F84CA5"/>
    <w:rsid w:val="00F84DD1"/>
    <w:rsid w:val="00F850C1"/>
    <w:rsid w:val="00F85D6F"/>
    <w:rsid w:val="00F90A78"/>
    <w:rsid w:val="00F92E6F"/>
    <w:rsid w:val="00F93848"/>
    <w:rsid w:val="00F94147"/>
    <w:rsid w:val="00F942ED"/>
    <w:rsid w:val="00F9504F"/>
    <w:rsid w:val="00F9548A"/>
    <w:rsid w:val="00F96E5E"/>
    <w:rsid w:val="00F97671"/>
    <w:rsid w:val="00FA0EDE"/>
    <w:rsid w:val="00FA45AE"/>
    <w:rsid w:val="00FA7025"/>
    <w:rsid w:val="00FB04DD"/>
    <w:rsid w:val="00FB06A7"/>
    <w:rsid w:val="00FB426D"/>
    <w:rsid w:val="00FB48D5"/>
    <w:rsid w:val="00FB5E90"/>
    <w:rsid w:val="00FB65DB"/>
    <w:rsid w:val="00FC363F"/>
    <w:rsid w:val="00FD03AB"/>
    <w:rsid w:val="00FD0BE8"/>
    <w:rsid w:val="00FD0FF0"/>
    <w:rsid w:val="00FD1568"/>
    <w:rsid w:val="00FD229D"/>
    <w:rsid w:val="00FD3033"/>
    <w:rsid w:val="00FD4CD5"/>
    <w:rsid w:val="00FD5ABD"/>
    <w:rsid w:val="00FE0461"/>
    <w:rsid w:val="00FE2C62"/>
    <w:rsid w:val="00FE55A7"/>
    <w:rsid w:val="00FE5F03"/>
    <w:rsid w:val="00FF19FC"/>
    <w:rsid w:val="00FF1D78"/>
    <w:rsid w:val="00FF2CE4"/>
    <w:rsid w:val="00FF49E6"/>
    <w:rsid w:val="00FF5C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3146E"/>
  <w15:chartTrackingRefBased/>
  <w15:docId w15:val="{F78443AF-2126-424C-AE6C-F12B6A31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90"/>
    <w:rPr>
      <w:sz w:val="24"/>
      <w:szCs w:val="24"/>
    </w:rPr>
  </w:style>
  <w:style w:type="paragraph" w:styleId="Balk2">
    <w:name w:val="heading 2"/>
    <w:basedOn w:val="Normal"/>
    <w:next w:val="Normal"/>
    <w:qFormat/>
    <w:rsid w:val="00410B9A"/>
    <w:pPr>
      <w:keepNext/>
      <w:ind w:firstLine="720"/>
      <w:jc w:val="both"/>
      <w:outlineLvl w:val="1"/>
    </w:pPr>
    <w:rPr>
      <w:rFonts w:ascii="Arial" w:hAnsi="Arial" w:cs="Arial"/>
      <w:b/>
      <w:bCs/>
      <w:i/>
      <w:iCs/>
      <w:color w:val="FF000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Char,Char Char Char Char Char Char"/>
    <w:basedOn w:val="Normal"/>
    <w:link w:val="NormalWebChar"/>
    <w:qFormat/>
    <w:rsid w:val="009428D6"/>
    <w:pPr>
      <w:spacing w:before="100" w:after="100"/>
    </w:pPr>
    <w:rPr>
      <w:szCs w:val="20"/>
    </w:rPr>
  </w:style>
  <w:style w:type="paragraph" w:customStyle="1" w:styleId="stbilgi">
    <w:name w:val="Üstbilgi"/>
    <w:basedOn w:val="Normal"/>
    <w:link w:val="stBilgiChar"/>
    <w:uiPriority w:val="99"/>
    <w:rsid w:val="009428D6"/>
    <w:pPr>
      <w:tabs>
        <w:tab w:val="center" w:pos="4536"/>
        <w:tab w:val="right" w:pos="9072"/>
      </w:tabs>
    </w:pPr>
  </w:style>
  <w:style w:type="paragraph" w:customStyle="1" w:styleId="Altbilgi">
    <w:name w:val="Altbilgi"/>
    <w:basedOn w:val="Normal"/>
    <w:rsid w:val="009428D6"/>
    <w:pPr>
      <w:tabs>
        <w:tab w:val="center" w:pos="4536"/>
        <w:tab w:val="right" w:pos="9072"/>
      </w:tabs>
    </w:pPr>
  </w:style>
  <w:style w:type="paragraph" w:styleId="BalonMetni">
    <w:name w:val="Balloon Text"/>
    <w:basedOn w:val="Normal"/>
    <w:semiHidden/>
    <w:rsid w:val="00890DD5"/>
    <w:rPr>
      <w:rFonts w:ascii="Tahoma" w:hAnsi="Tahoma" w:cs="Tahoma"/>
      <w:sz w:val="16"/>
      <w:szCs w:val="16"/>
    </w:rPr>
  </w:style>
  <w:style w:type="paragraph" w:styleId="GvdeMetniGirintisi3">
    <w:name w:val="Body Text Indent 3"/>
    <w:basedOn w:val="Normal"/>
    <w:rsid w:val="008923CE"/>
    <w:pPr>
      <w:spacing w:before="100" w:beforeAutospacing="1" w:after="100" w:afterAutospacing="1"/>
    </w:pPr>
  </w:style>
  <w:style w:type="character" w:styleId="AklamaBavurusu">
    <w:name w:val="annotation reference"/>
    <w:semiHidden/>
    <w:rsid w:val="005A7E62"/>
    <w:rPr>
      <w:sz w:val="16"/>
      <w:szCs w:val="16"/>
    </w:rPr>
  </w:style>
  <w:style w:type="paragraph" w:styleId="AklamaMetni">
    <w:name w:val="annotation text"/>
    <w:basedOn w:val="Normal"/>
    <w:semiHidden/>
    <w:rsid w:val="005A7E62"/>
    <w:rPr>
      <w:sz w:val="20"/>
      <w:szCs w:val="20"/>
    </w:rPr>
  </w:style>
  <w:style w:type="paragraph" w:styleId="AklamaKonusu">
    <w:name w:val="annotation subject"/>
    <w:basedOn w:val="AklamaMetni"/>
    <w:next w:val="AklamaMetni"/>
    <w:semiHidden/>
    <w:rsid w:val="005A7E62"/>
    <w:rPr>
      <w:b/>
      <w:bCs/>
    </w:rPr>
  </w:style>
  <w:style w:type="paragraph" w:styleId="GvdeMetniGirintisi">
    <w:name w:val="Body Text Indent"/>
    <w:basedOn w:val="Normal"/>
    <w:rsid w:val="00F213EE"/>
    <w:pPr>
      <w:spacing w:after="120"/>
      <w:ind w:left="283"/>
    </w:pPr>
  </w:style>
  <w:style w:type="table" w:styleId="TabloKlavuzu">
    <w:name w:val="Table Grid"/>
    <w:basedOn w:val="NormalTablo"/>
    <w:rsid w:val="006F4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421F4D"/>
    <w:rPr>
      <w:sz w:val="20"/>
      <w:szCs w:val="20"/>
    </w:rPr>
  </w:style>
  <w:style w:type="character" w:styleId="DipnotBavurusu">
    <w:name w:val="footnote reference"/>
    <w:semiHidden/>
    <w:rsid w:val="00421F4D"/>
    <w:rPr>
      <w:vertAlign w:val="superscript"/>
    </w:rPr>
  </w:style>
  <w:style w:type="character" w:styleId="SayfaNumaras">
    <w:name w:val="page number"/>
    <w:basedOn w:val="VarsaylanParagrafYazTipi"/>
    <w:rsid w:val="00440437"/>
  </w:style>
  <w:style w:type="paragraph" w:styleId="GvdeMetni">
    <w:name w:val="Body Text"/>
    <w:basedOn w:val="Normal"/>
    <w:link w:val="GvdeMetniChar"/>
    <w:uiPriority w:val="99"/>
    <w:rsid w:val="00C97533"/>
    <w:pPr>
      <w:spacing w:after="120"/>
    </w:pPr>
  </w:style>
  <w:style w:type="character" w:customStyle="1" w:styleId="GvdeMetniChar">
    <w:name w:val="Gövde Metni Char"/>
    <w:link w:val="GvdeMetni"/>
    <w:uiPriority w:val="99"/>
    <w:rsid w:val="00C97533"/>
    <w:rPr>
      <w:sz w:val="24"/>
      <w:szCs w:val="24"/>
    </w:rPr>
  </w:style>
  <w:style w:type="table" w:styleId="TabloBasit1">
    <w:name w:val="Table Simple 1"/>
    <w:basedOn w:val="NormalTablo"/>
    <w:rsid w:val="007E481C"/>
    <w:tblPr>
      <w:tblBorders>
        <w:top w:val="single" w:sz="4" w:space="0" w:color="auto"/>
        <w:bottom w:val="single" w:sz="4" w:space="0" w:color="auto"/>
      </w:tblBorders>
    </w:tblPr>
    <w:tcPr>
      <w:shd w:val="clear" w:color="auto" w:fill="FFFFFF"/>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eParagraf">
    <w:name w:val="List Paragraph"/>
    <w:basedOn w:val="Normal"/>
    <w:uiPriority w:val="34"/>
    <w:qFormat/>
    <w:rsid w:val="007E481C"/>
    <w:pPr>
      <w:ind w:left="720"/>
      <w:contextualSpacing/>
    </w:pPr>
  </w:style>
  <w:style w:type="character" w:styleId="Kpr">
    <w:name w:val="Hyperlink"/>
    <w:rsid w:val="00BB4C68"/>
    <w:rPr>
      <w:color w:val="0000FF"/>
      <w:u w:val="single"/>
    </w:rPr>
  </w:style>
  <w:style w:type="character" w:customStyle="1" w:styleId="NormalWebChar">
    <w:name w:val="Normal (Web) Char"/>
    <w:aliases w:val="Normal (Web) Char Char Char1,Normal (Web) Char Char Char Char Char,Normal (Web) Char Char Char Char1,Char Char,Char Char Char Char Char Char Char"/>
    <w:link w:val="NormalWeb"/>
    <w:locked/>
    <w:rsid w:val="0067311C"/>
    <w:rPr>
      <w:sz w:val="24"/>
    </w:rPr>
  </w:style>
  <w:style w:type="character" w:customStyle="1" w:styleId="stBilgiChar">
    <w:name w:val="Üst Bilgi Char"/>
    <w:link w:val="stbilgi"/>
    <w:uiPriority w:val="99"/>
    <w:rsid w:val="008A26E7"/>
    <w:rPr>
      <w:sz w:val="24"/>
      <w:szCs w:val="24"/>
    </w:rPr>
  </w:style>
  <w:style w:type="paragraph" w:styleId="stBilgi0">
    <w:name w:val="header"/>
    <w:basedOn w:val="Normal"/>
    <w:link w:val="stBilgiChar1"/>
    <w:uiPriority w:val="99"/>
    <w:rsid w:val="004B4BA4"/>
    <w:pPr>
      <w:tabs>
        <w:tab w:val="center" w:pos="4536"/>
        <w:tab w:val="right" w:pos="9072"/>
      </w:tabs>
    </w:pPr>
  </w:style>
  <w:style w:type="character" w:customStyle="1" w:styleId="stBilgiChar1">
    <w:name w:val="Üst Bilgi Char1"/>
    <w:basedOn w:val="VarsaylanParagrafYazTipi"/>
    <w:link w:val="stBilgi0"/>
    <w:uiPriority w:val="99"/>
    <w:rsid w:val="004B4BA4"/>
    <w:rPr>
      <w:sz w:val="24"/>
      <w:szCs w:val="24"/>
    </w:rPr>
  </w:style>
  <w:style w:type="paragraph" w:styleId="AltBilgi0">
    <w:name w:val="footer"/>
    <w:basedOn w:val="Normal"/>
    <w:link w:val="AltBilgiChar"/>
    <w:rsid w:val="004B4BA4"/>
    <w:pPr>
      <w:tabs>
        <w:tab w:val="center" w:pos="4536"/>
        <w:tab w:val="right" w:pos="9072"/>
      </w:tabs>
    </w:pPr>
  </w:style>
  <w:style w:type="character" w:customStyle="1" w:styleId="AltBilgiChar">
    <w:name w:val="Alt Bilgi Char"/>
    <w:basedOn w:val="VarsaylanParagrafYazTipi"/>
    <w:link w:val="AltBilgi0"/>
    <w:rsid w:val="004B4B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9866">
      <w:bodyDiv w:val="1"/>
      <w:marLeft w:val="0"/>
      <w:marRight w:val="0"/>
      <w:marTop w:val="0"/>
      <w:marBottom w:val="0"/>
      <w:divBdr>
        <w:top w:val="none" w:sz="0" w:space="0" w:color="auto"/>
        <w:left w:val="none" w:sz="0" w:space="0" w:color="auto"/>
        <w:bottom w:val="none" w:sz="0" w:space="0" w:color="auto"/>
        <w:right w:val="none" w:sz="0" w:space="0" w:color="auto"/>
      </w:divBdr>
    </w:div>
    <w:div w:id="89199312">
      <w:bodyDiv w:val="1"/>
      <w:marLeft w:val="0"/>
      <w:marRight w:val="0"/>
      <w:marTop w:val="0"/>
      <w:marBottom w:val="0"/>
      <w:divBdr>
        <w:top w:val="none" w:sz="0" w:space="0" w:color="auto"/>
        <w:left w:val="none" w:sz="0" w:space="0" w:color="auto"/>
        <w:bottom w:val="none" w:sz="0" w:space="0" w:color="auto"/>
        <w:right w:val="none" w:sz="0" w:space="0" w:color="auto"/>
      </w:divBdr>
    </w:div>
    <w:div w:id="167062897">
      <w:bodyDiv w:val="1"/>
      <w:marLeft w:val="0"/>
      <w:marRight w:val="0"/>
      <w:marTop w:val="0"/>
      <w:marBottom w:val="0"/>
      <w:divBdr>
        <w:top w:val="none" w:sz="0" w:space="0" w:color="auto"/>
        <w:left w:val="none" w:sz="0" w:space="0" w:color="auto"/>
        <w:bottom w:val="none" w:sz="0" w:space="0" w:color="auto"/>
        <w:right w:val="none" w:sz="0" w:space="0" w:color="auto"/>
      </w:divBdr>
    </w:div>
    <w:div w:id="176117342">
      <w:bodyDiv w:val="1"/>
      <w:marLeft w:val="0"/>
      <w:marRight w:val="0"/>
      <w:marTop w:val="0"/>
      <w:marBottom w:val="0"/>
      <w:divBdr>
        <w:top w:val="none" w:sz="0" w:space="0" w:color="auto"/>
        <w:left w:val="none" w:sz="0" w:space="0" w:color="auto"/>
        <w:bottom w:val="none" w:sz="0" w:space="0" w:color="auto"/>
        <w:right w:val="none" w:sz="0" w:space="0" w:color="auto"/>
      </w:divBdr>
    </w:div>
    <w:div w:id="211043801">
      <w:bodyDiv w:val="1"/>
      <w:marLeft w:val="0"/>
      <w:marRight w:val="0"/>
      <w:marTop w:val="0"/>
      <w:marBottom w:val="0"/>
      <w:divBdr>
        <w:top w:val="none" w:sz="0" w:space="0" w:color="auto"/>
        <w:left w:val="none" w:sz="0" w:space="0" w:color="auto"/>
        <w:bottom w:val="none" w:sz="0" w:space="0" w:color="auto"/>
        <w:right w:val="none" w:sz="0" w:space="0" w:color="auto"/>
      </w:divBdr>
    </w:div>
    <w:div w:id="212929294">
      <w:bodyDiv w:val="1"/>
      <w:marLeft w:val="0"/>
      <w:marRight w:val="0"/>
      <w:marTop w:val="0"/>
      <w:marBottom w:val="0"/>
      <w:divBdr>
        <w:top w:val="none" w:sz="0" w:space="0" w:color="auto"/>
        <w:left w:val="none" w:sz="0" w:space="0" w:color="auto"/>
        <w:bottom w:val="none" w:sz="0" w:space="0" w:color="auto"/>
        <w:right w:val="none" w:sz="0" w:space="0" w:color="auto"/>
      </w:divBdr>
    </w:div>
    <w:div w:id="283660591">
      <w:bodyDiv w:val="1"/>
      <w:marLeft w:val="0"/>
      <w:marRight w:val="0"/>
      <w:marTop w:val="0"/>
      <w:marBottom w:val="0"/>
      <w:divBdr>
        <w:top w:val="none" w:sz="0" w:space="0" w:color="auto"/>
        <w:left w:val="none" w:sz="0" w:space="0" w:color="auto"/>
        <w:bottom w:val="none" w:sz="0" w:space="0" w:color="auto"/>
        <w:right w:val="none" w:sz="0" w:space="0" w:color="auto"/>
      </w:divBdr>
    </w:div>
    <w:div w:id="322659205">
      <w:bodyDiv w:val="1"/>
      <w:marLeft w:val="0"/>
      <w:marRight w:val="0"/>
      <w:marTop w:val="0"/>
      <w:marBottom w:val="0"/>
      <w:divBdr>
        <w:top w:val="none" w:sz="0" w:space="0" w:color="auto"/>
        <w:left w:val="none" w:sz="0" w:space="0" w:color="auto"/>
        <w:bottom w:val="none" w:sz="0" w:space="0" w:color="auto"/>
        <w:right w:val="none" w:sz="0" w:space="0" w:color="auto"/>
      </w:divBdr>
    </w:div>
    <w:div w:id="513879714">
      <w:bodyDiv w:val="1"/>
      <w:marLeft w:val="0"/>
      <w:marRight w:val="0"/>
      <w:marTop w:val="0"/>
      <w:marBottom w:val="0"/>
      <w:divBdr>
        <w:top w:val="none" w:sz="0" w:space="0" w:color="auto"/>
        <w:left w:val="none" w:sz="0" w:space="0" w:color="auto"/>
        <w:bottom w:val="none" w:sz="0" w:space="0" w:color="auto"/>
        <w:right w:val="none" w:sz="0" w:space="0" w:color="auto"/>
      </w:divBdr>
    </w:div>
    <w:div w:id="531961916">
      <w:bodyDiv w:val="1"/>
      <w:marLeft w:val="0"/>
      <w:marRight w:val="0"/>
      <w:marTop w:val="0"/>
      <w:marBottom w:val="0"/>
      <w:divBdr>
        <w:top w:val="none" w:sz="0" w:space="0" w:color="auto"/>
        <w:left w:val="none" w:sz="0" w:space="0" w:color="auto"/>
        <w:bottom w:val="none" w:sz="0" w:space="0" w:color="auto"/>
        <w:right w:val="none" w:sz="0" w:space="0" w:color="auto"/>
      </w:divBdr>
    </w:div>
    <w:div w:id="571088599">
      <w:bodyDiv w:val="1"/>
      <w:marLeft w:val="0"/>
      <w:marRight w:val="0"/>
      <w:marTop w:val="0"/>
      <w:marBottom w:val="0"/>
      <w:divBdr>
        <w:top w:val="none" w:sz="0" w:space="0" w:color="auto"/>
        <w:left w:val="none" w:sz="0" w:space="0" w:color="auto"/>
        <w:bottom w:val="none" w:sz="0" w:space="0" w:color="auto"/>
        <w:right w:val="none" w:sz="0" w:space="0" w:color="auto"/>
      </w:divBdr>
    </w:div>
    <w:div w:id="700864618">
      <w:bodyDiv w:val="1"/>
      <w:marLeft w:val="0"/>
      <w:marRight w:val="0"/>
      <w:marTop w:val="0"/>
      <w:marBottom w:val="0"/>
      <w:divBdr>
        <w:top w:val="none" w:sz="0" w:space="0" w:color="auto"/>
        <w:left w:val="none" w:sz="0" w:space="0" w:color="auto"/>
        <w:bottom w:val="none" w:sz="0" w:space="0" w:color="auto"/>
        <w:right w:val="none" w:sz="0" w:space="0" w:color="auto"/>
      </w:divBdr>
    </w:div>
    <w:div w:id="715155997">
      <w:bodyDiv w:val="1"/>
      <w:marLeft w:val="0"/>
      <w:marRight w:val="0"/>
      <w:marTop w:val="0"/>
      <w:marBottom w:val="0"/>
      <w:divBdr>
        <w:top w:val="none" w:sz="0" w:space="0" w:color="auto"/>
        <w:left w:val="none" w:sz="0" w:space="0" w:color="auto"/>
        <w:bottom w:val="none" w:sz="0" w:space="0" w:color="auto"/>
        <w:right w:val="none" w:sz="0" w:space="0" w:color="auto"/>
      </w:divBdr>
    </w:div>
    <w:div w:id="785275013">
      <w:bodyDiv w:val="1"/>
      <w:marLeft w:val="0"/>
      <w:marRight w:val="0"/>
      <w:marTop w:val="0"/>
      <w:marBottom w:val="0"/>
      <w:divBdr>
        <w:top w:val="none" w:sz="0" w:space="0" w:color="auto"/>
        <w:left w:val="none" w:sz="0" w:space="0" w:color="auto"/>
        <w:bottom w:val="none" w:sz="0" w:space="0" w:color="auto"/>
        <w:right w:val="none" w:sz="0" w:space="0" w:color="auto"/>
      </w:divBdr>
    </w:div>
    <w:div w:id="792483618">
      <w:bodyDiv w:val="1"/>
      <w:marLeft w:val="0"/>
      <w:marRight w:val="0"/>
      <w:marTop w:val="0"/>
      <w:marBottom w:val="0"/>
      <w:divBdr>
        <w:top w:val="none" w:sz="0" w:space="0" w:color="auto"/>
        <w:left w:val="none" w:sz="0" w:space="0" w:color="auto"/>
        <w:bottom w:val="none" w:sz="0" w:space="0" w:color="auto"/>
        <w:right w:val="none" w:sz="0" w:space="0" w:color="auto"/>
      </w:divBdr>
    </w:div>
    <w:div w:id="821392788">
      <w:bodyDiv w:val="1"/>
      <w:marLeft w:val="0"/>
      <w:marRight w:val="0"/>
      <w:marTop w:val="0"/>
      <w:marBottom w:val="0"/>
      <w:divBdr>
        <w:top w:val="none" w:sz="0" w:space="0" w:color="auto"/>
        <w:left w:val="none" w:sz="0" w:space="0" w:color="auto"/>
        <w:bottom w:val="none" w:sz="0" w:space="0" w:color="auto"/>
        <w:right w:val="none" w:sz="0" w:space="0" w:color="auto"/>
      </w:divBdr>
    </w:div>
    <w:div w:id="901872714">
      <w:bodyDiv w:val="1"/>
      <w:marLeft w:val="0"/>
      <w:marRight w:val="0"/>
      <w:marTop w:val="0"/>
      <w:marBottom w:val="0"/>
      <w:divBdr>
        <w:top w:val="none" w:sz="0" w:space="0" w:color="auto"/>
        <w:left w:val="none" w:sz="0" w:space="0" w:color="auto"/>
        <w:bottom w:val="none" w:sz="0" w:space="0" w:color="auto"/>
        <w:right w:val="none" w:sz="0" w:space="0" w:color="auto"/>
      </w:divBdr>
    </w:div>
    <w:div w:id="949363208">
      <w:bodyDiv w:val="1"/>
      <w:marLeft w:val="0"/>
      <w:marRight w:val="0"/>
      <w:marTop w:val="0"/>
      <w:marBottom w:val="0"/>
      <w:divBdr>
        <w:top w:val="none" w:sz="0" w:space="0" w:color="auto"/>
        <w:left w:val="none" w:sz="0" w:space="0" w:color="auto"/>
        <w:bottom w:val="none" w:sz="0" w:space="0" w:color="auto"/>
        <w:right w:val="none" w:sz="0" w:space="0" w:color="auto"/>
      </w:divBdr>
    </w:div>
    <w:div w:id="952714747">
      <w:bodyDiv w:val="1"/>
      <w:marLeft w:val="0"/>
      <w:marRight w:val="0"/>
      <w:marTop w:val="0"/>
      <w:marBottom w:val="0"/>
      <w:divBdr>
        <w:top w:val="none" w:sz="0" w:space="0" w:color="auto"/>
        <w:left w:val="none" w:sz="0" w:space="0" w:color="auto"/>
        <w:bottom w:val="none" w:sz="0" w:space="0" w:color="auto"/>
        <w:right w:val="none" w:sz="0" w:space="0" w:color="auto"/>
      </w:divBdr>
    </w:div>
    <w:div w:id="965966471">
      <w:bodyDiv w:val="1"/>
      <w:marLeft w:val="0"/>
      <w:marRight w:val="0"/>
      <w:marTop w:val="0"/>
      <w:marBottom w:val="0"/>
      <w:divBdr>
        <w:top w:val="none" w:sz="0" w:space="0" w:color="auto"/>
        <w:left w:val="none" w:sz="0" w:space="0" w:color="auto"/>
        <w:bottom w:val="none" w:sz="0" w:space="0" w:color="auto"/>
        <w:right w:val="none" w:sz="0" w:space="0" w:color="auto"/>
      </w:divBdr>
    </w:div>
    <w:div w:id="1012488680">
      <w:bodyDiv w:val="1"/>
      <w:marLeft w:val="0"/>
      <w:marRight w:val="0"/>
      <w:marTop w:val="0"/>
      <w:marBottom w:val="0"/>
      <w:divBdr>
        <w:top w:val="none" w:sz="0" w:space="0" w:color="auto"/>
        <w:left w:val="none" w:sz="0" w:space="0" w:color="auto"/>
        <w:bottom w:val="none" w:sz="0" w:space="0" w:color="auto"/>
        <w:right w:val="none" w:sz="0" w:space="0" w:color="auto"/>
      </w:divBdr>
    </w:div>
    <w:div w:id="1062944547">
      <w:bodyDiv w:val="1"/>
      <w:marLeft w:val="0"/>
      <w:marRight w:val="0"/>
      <w:marTop w:val="0"/>
      <w:marBottom w:val="0"/>
      <w:divBdr>
        <w:top w:val="none" w:sz="0" w:space="0" w:color="auto"/>
        <w:left w:val="none" w:sz="0" w:space="0" w:color="auto"/>
        <w:bottom w:val="none" w:sz="0" w:space="0" w:color="auto"/>
        <w:right w:val="none" w:sz="0" w:space="0" w:color="auto"/>
      </w:divBdr>
    </w:div>
    <w:div w:id="1134836900">
      <w:bodyDiv w:val="1"/>
      <w:marLeft w:val="0"/>
      <w:marRight w:val="0"/>
      <w:marTop w:val="0"/>
      <w:marBottom w:val="0"/>
      <w:divBdr>
        <w:top w:val="none" w:sz="0" w:space="0" w:color="auto"/>
        <w:left w:val="none" w:sz="0" w:space="0" w:color="auto"/>
        <w:bottom w:val="none" w:sz="0" w:space="0" w:color="auto"/>
        <w:right w:val="none" w:sz="0" w:space="0" w:color="auto"/>
      </w:divBdr>
    </w:div>
    <w:div w:id="1177841662">
      <w:bodyDiv w:val="1"/>
      <w:marLeft w:val="0"/>
      <w:marRight w:val="0"/>
      <w:marTop w:val="0"/>
      <w:marBottom w:val="0"/>
      <w:divBdr>
        <w:top w:val="none" w:sz="0" w:space="0" w:color="auto"/>
        <w:left w:val="none" w:sz="0" w:space="0" w:color="auto"/>
        <w:bottom w:val="none" w:sz="0" w:space="0" w:color="auto"/>
        <w:right w:val="none" w:sz="0" w:space="0" w:color="auto"/>
      </w:divBdr>
    </w:div>
    <w:div w:id="1235244089">
      <w:bodyDiv w:val="1"/>
      <w:marLeft w:val="0"/>
      <w:marRight w:val="0"/>
      <w:marTop w:val="0"/>
      <w:marBottom w:val="0"/>
      <w:divBdr>
        <w:top w:val="none" w:sz="0" w:space="0" w:color="auto"/>
        <w:left w:val="none" w:sz="0" w:space="0" w:color="auto"/>
        <w:bottom w:val="none" w:sz="0" w:space="0" w:color="auto"/>
        <w:right w:val="none" w:sz="0" w:space="0" w:color="auto"/>
      </w:divBdr>
    </w:div>
    <w:div w:id="1304895287">
      <w:bodyDiv w:val="1"/>
      <w:marLeft w:val="0"/>
      <w:marRight w:val="0"/>
      <w:marTop w:val="0"/>
      <w:marBottom w:val="0"/>
      <w:divBdr>
        <w:top w:val="none" w:sz="0" w:space="0" w:color="auto"/>
        <w:left w:val="none" w:sz="0" w:space="0" w:color="auto"/>
        <w:bottom w:val="none" w:sz="0" w:space="0" w:color="auto"/>
        <w:right w:val="none" w:sz="0" w:space="0" w:color="auto"/>
      </w:divBdr>
    </w:div>
    <w:div w:id="1365519701">
      <w:bodyDiv w:val="1"/>
      <w:marLeft w:val="0"/>
      <w:marRight w:val="0"/>
      <w:marTop w:val="0"/>
      <w:marBottom w:val="0"/>
      <w:divBdr>
        <w:top w:val="none" w:sz="0" w:space="0" w:color="auto"/>
        <w:left w:val="none" w:sz="0" w:space="0" w:color="auto"/>
        <w:bottom w:val="none" w:sz="0" w:space="0" w:color="auto"/>
        <w:right w:val="none" w:sz="0" w:space="0" w:color="auto"/>
      </w:divBdr>
    </w:div>
    <w:div w:id="1367759662">
      <w:bodyDiv w:val="1"/>
      <w:marLeft w:val="0"/>
      <w:marRight w:val="0"/>
      <w:marTop w:val="0"/>
      <w:marBottom w:val="0"/>
      <w:divBdr>
        <w:top w:val="none" w:sz="0" w:space="0" w:color="auto"/>
        <w:left w:val="none" w:sz="0" w:space="0" w:color="auto"/>
        <w:bottom w:val="none" w:sz="0" w:space="0" w:color="auto"/>
        <w:right w:val="none" w:sz="0" w:space="0" w:color="auto"/>
      </w:divBdr>
    </w:div>
    <w:div w:id="1368019664">
      <w:bodyDiv w:val="1"/>
      <w:marLeft w:val="0"/>
      <w:marRight w:val="0"/>
      <w:marTop w:val="0"/>
      <w:marBottom w:val="0"/>
      <w:divBdr>
        <w:top w:val="none" w:sz="0" w:space="0" w:color="auto"/>
        <w:left w:val="none" w:sz="0" w:space="0" w:color="auto"/>
        <w:bottom w:val="none" w:sz="0" w:space="0" w:color="auto"/>
        <w:right w:val="none" w:sz="0" w:space="0" w:color="auto"/>
      </w:divBdr>
    </w:div>
    <w:div w:id="1381394257">
      <w:bodyDiv w:val="1"/>
      <w:marLeft w:val="0"/>
      <w:marRight w:val="0"/>
      <w:marTop w:val="0"/>
      <w:marBottom w:val="0"/>
      <w:divBdr>
        <w:top w:val="none" w:sz="0" w:space="0" w:color="auto"/>
        <w:left w:val="none" w:sz="0" w:space="0" w:color="auto"/>
        <w:bottom w:val="none" w:sz="0" w:space="0" w:color="auto"/>
        <w:right w:val="none" w:sz="0" w:space="0" w:color="auto"/>
      </w:divBdr>
    </w:div>
    <w:div w:id="1390957330">
      <w:bodyDiv w:val="1"/>
      <w:marLeft w:val="0"/>
      <w:marRight w:val="0"/>
      <w:marTop w:val="0"/>
      <w:marBottom w:val="0"/>
      <w:divBdr>
        <w:top w:val="none" w:sz="0" w:space="0" w:color="auto"/>
        <w:left w:val="none" w:sz="0" w:space="0" w:color="auto"/>
        <w:bottom w:val="none" w:sz="0" w:space="0" w:color="auto"/>
        <w:right w:val="none" w:sz="0" w:space="0" w:color="auto"/>
      </w:divBdr>
    </w:div>
    <w:div w:id="1413964247">
      <w:bodyDiv w:val="1"/>
      <w:marLeft w:val="0"/>
      <w:marRight w:val="0"/>
      <w:marTop w:val="0"/>
      <w:marBottom w:val="0"/>
      <w:divBdr>
        <w:top w:val="none" w:sz="0" w:space="0" w:color="auto"/>
        <w:left w:val="none" w:sz="0" w:space="0" w:color="auto"/>
        <w:bottom w:val="none" w:sz="0" w:space="0" w:color="auto"/>
        <w:right w:val="none" w:sz="0" w:space="0" w:color="auto"/>
      </w:divBdr>
    </w:div>
    <w:div w:id="1490052575">
      <w:bodyDiv w:val="1"/>
      <w:marLeft w:val="0"/>
      <w:marRight w:val="0"/>
      <w:marTop w:val="0"/>
      <w:marBottom w:val="0"/>
      <w:divBdr>
        <w:top w:val="none" w:sz="0" w:space="0" w:color="auto"/>
        <w:left w:val="none" w:sz="0" w:space="0" w:color="auto"/>
        <w:bottom w:val="none" w:sz="0" w:space="0" w:color="auto"/>
        <w:right w:val="none" w:sz="0" w:space="0" w:color="auto"/>
      </w:divBdr>
    </w:div>
    <w:div w:id="1497305336">
      <w:bodyDiv w:val="1"/>
      <w:marLeft w:val="0"/>
      <w:marRight w:val="0"/>
      <w:marTop w:val="0"/>
      <w:marBottom w:val="0"/>
      <w:divBdr>
        <w:top w:val="none" w:sz="0" w:space="0" w:color="auto"/>
        <w:left w:val="none" w:sz="0" w:space="0" w:color="auto"/>
        <w:bottom w:val="none" w:sz="0" w:space="0" w:color="auto"/>
        <w:right w:val="none" w:sz="0" w:space="0" w:color="auto"/>
      </w:divBdr>
    </w:div>
    <w:div w:id="1545370129">
      <w:bodyDiv w:val="1"/>
      <w:marLeft w:val="0"/>
      <w:marRight w:val="0"/>
      <w:marTop w:val="0"/>
      <w:marBottom w:val="0"/>
      <w:divBdr>
        <w:top w:val="none" w:sz="0" w:space="0" w:color="auto"/>
        <w:left w:val="none" w:sz="0" w:space="0" w:color="auto"/>
        <w:bottom w:val="none" w:sz="0" w:space="0" w:color="auto"/>
        <w:right w:val="none" w:sz="0" w:space="0" w:color="auto"/>
      </w:divBdr>
    </w:div>
    <w:div w:id="1553617598">
      <w:bodyDiv w:val="1"/>
      <w:marLeft w:val="0"/>
      <w:marRight w:val="0"/>
      <w:marTop w:val="0"/>
      <w:marBottom w:val="0"/>
      <w:divBdr>
        <w:top w:val="none" w:sz="0" w:space="0" w:color="auto"/>
        <w:left w:val="none" w:sz="0" w:space="0" w:color="auto"/>
        <w:bottom w:val="none" w:sz="0" w:space="0" w:color="auto"/>
        <w:right w:val="none" w:sz="0" w:space="0" w:color="auto"/>
      </w:divBdr>
    </w:div>
    <w:div w:id="1605839954">
      <w:bodyDiv w:val="1"/>
      <w:marLeft w:val="0"/>
      <w:marRight w:val="0"/>
      <w:marTop w:val="0"/>
      <w:marBottom w:val="0"/>
      <w:divBdr>
        <w:top w:val="none" w:sz="0" w:space="0" w:color="auto"/>
        <w:left w:val="none" w:sz="0" w:space="0" w:color="auto"/>
        <w:bottom w:val="none" w:sz="0" w:space="0" w:color="auto"/>
        <w:right w:val="none" w:sz="0" w:space="0" w:color="auto"/>
      </w:divBdr>
    </w:div>
    <w:div w:id="1712877347">
      <w:bodyDiv w:val="1"/>
      <w:marLeft w:val="0"/>
      <w:marRight w:val="0"/>
      <w:marTop w:val="0"/>
      <w:marBottom w:val="0"/>
      <w:divBdr>
        <w:top w:val="none" w:sz="0" w:space="0" w:color="auto"/>
        <w:left w:val="none" w:sz="0" w:space="0" w:color="auto"/>
        <w:bottom w:val="none" w:sz="0" w:space="0" w:color="auto"/>
        <w:right w:val="none" w:sz="0" w:space="0" w:color="auto"/>
      </w:divBdr>
    </w:div>
    <w:div w:id="1748114954">
      <w:bodyDiv w:val="1"/>
      <w:marLeft w:val="0"/>
      <w:marRight w:val="0"/>
      <w:marTop w:val="0"/>
      <w:marBottom w:val="0"/>
      <w:divBdr>
        <w:top w:val="none" w:sz="0" w:space="0" w:color="auto"/>
        <w:left w:val="none" w:sz="0" w:space="0" w:color="auto"/>
        <w:bottom w:val="none" w:sz="0" w:space="0" w:color="auto"/>
        <w:right w:val="none" w:sz="0" w:space="0" w:color="auto"/>
      </w:divBdr>
    </w:div>
    <w:div w:id="1808156963">
      <w:bodyDiv w:val="1"/>
      <w:marLeft w:val="0"/>
      <w:marRight w:val="0"/>
      <w:marTop w:val="0"/>
      <w:marBottom w:val="0"/>
      <w:divBdr>
        <w:top w:val="none" w:sz="0" w:space="0" w:color="auto"/>
        <w:left w:val="none" w:sz="0" w:space="0" w:color="auto"/>
        <w:bottom w:val="none" w:sz="0" w:space="0" w:color="auto"/>
        <w:right w:val="none" w:sz="0" w:space="0" w:color="auto"/>
      </w:divBdr>
    </w:div>
    <w:div w:id="1862233295">
      <w:bodyDiv w:val="1"/>
      <w:marLeft w:val="0"/>
      <w:marRight w:val="0"/>
      <w:marTop w:val="0"/>
      <w:marBottom w:val="0"/>
      <w:divBdr>
        <w:top w:val="none" w:sz="0" w:space="0" w:color="auto"/>
        <w:left w:val="none" w:sz="0" w:space="0" w:color="auto"/>
        <w:bottom w:val="none" w:sz="0" w:space="0" w:color="auto"/>
        <w:right w:val="none" w:sz="0" w:space="0" w:color="auto"/>
      </w:divBdr>
    </w:div>
    <w:div w:id="1919170258">
      <w:bodyDiv w:val="1"/>
      <w:marLeft w:val="0"/>
      <w:marRight w:val="0"/>
      <w:marTop w:val="0"/>
      <w:marBottom w:val="0"/>
      <w:divBdr>
        <w:top w:val="none" w:sz="0" w:space="0" w:color="auto"/>
        <w:left w:val="none" w:sz="0" w:space="0" w:color="auto"/>
        <w:bottom w:val="none" w:sz="0" w:space="0" w:color="auto"/>
        <w:right w:val="none" w:sz="0" w:space="0" w:color="auto"/>
      </w:divBdr>
    </w:div>
    <w:div w:id="1926066383">
      <w:bodyDiv w:val="1"/>
      <w:marLeft w:val="0"/>
      <w:marRight w:val="0"/>
      <w:marTop w:val="0"/>
      <w:marBottom w:val="0"/>
      <w:divBdr>
        <w:top w:val="none" w:sz="0" w:space="0" w:color="auto"/>
        <w:left w:val="none" w:sz="0" w:space="0" w:color="auto"/>
        <w:bottom w:val="none" w:sz="0" w:space="0" w:color="auto"/>
        <w:right w:val="none" w:sz="0" w:space="0" w:color="auto"/>
      </w:divBdr>
    </w:div>
    <w:div w:id="1930118120">
      <w:bodyDiv w:val="1"/>
      <w:marLeft w:val="0"/>
      <w:marRight w:val="0"/>
      <w:marTop w:val="0"/>
      <w:marBottom w:val="0"/>
      <w:divBdr>
        <w:top w:val="none" w:sz="0" w:space="0" w:color="auto"/>
        <w:left w:val="none" w:sz="0" w:space="0" w:color="auto"/>
        <w:bottom w:val="none" w:sz="0" w:space="0" w:color="auto"/>
        <w:right w:val="none" w:sz="0" w:space="0" w:color="auto"/>
      </w:divBdr>
    </w:div>
    <w:div w:id="1930964595">
      <w:bodyDiv w:val="1"/>
      <w:marLeft w:val="0"/>
      <w:marRight w:val="0"/>
      <w:marTop w:val="0"/>
      <w:marBottom w:val="0"/>
      <w:divBdr>
        <w:top w:val="none" w:sz="0" w:space="0" w:color="auto"/>
        <w:left w:val="none" w:sz="0" w:space="0" w:color="auto"/>
        <w:bottom w:val="none" w:sz="0" w:space="0" w:color="auto"/>
        <w:right w:val="none" w:sz="0" w:space="0" w:color="auto"/>
      </w:divBdr>
    </w:div>
    <w:div w:id="1941832393">
      <w:bodyDiv w:val="1"/>
      <w:marLeft w:val="0"/>
      <w:marRight w:val="0"/>
      <w:marTop w:val="0"/>
      <w:marBottom w:val="0"/>
      <w:divBdr>
        <w:top w:val="none" w:sz="0" w:space="0" w:color="auto"/>
        <w:left w:val="none" w:sz="0" w:space="0" w:color="auto"/>
        <w:bottom w:val="none" w:sz="0" w:space="0" w:color="auto"/>
        <w:right w:val="none" w:sz="0" w:space="0" w:color="auto"/>
      </w:divBdr>
    </w:div>
    <w:div w:id="1942294816">
      <w:bodyDiv w:val="1"/>
      <w:marLeft w:val="0"/>
      <w:marRight w:val="0"/>
      <w:marTop w:val="0"/>
      <w:marBottom w:val="0"/>
      <w:divBdr>
        <w:top w:val="none" w:sz="0" w:space="0" w:color="auto"/>
        <w:left w:val="none" w:sz="0" w:space="0" w:color="auto"/>
        <w:bottom w:val="none" w:sz="0" w:space="0" w:color="auto"/>
        <w:right w:val="none" w:sz="0" w:space="0" w:color="auto"/>
      </w:divBdr>
    </w:div>
    <w:div w:id="2021201610">
      <w:bodyDiv w:val="1"/>
      <w:marLeft w:val="0"/>
      <w:marRight w:val="0"/>
      <w:marTop w:val="0"/>
      <w:marBottom w:val="0"/>
      <w:divBdr>
        <w:top w:val="none" w:sz="0" w:space="0" w:color="auto"/>
        <w:left w:val="none" w:sz="0" w:space="0" w:color="auto"/>
        <w:bottom w:val="none" w:sz="0" w:space="0" w:color="auto"/>
        <w:right w:val="none" w:sz="0" w:space="0" w:color="auto"/>
      </w:divBdr>
    </w:div>
    <w:div w:id="2061174574">
      <w:bodyDiv w:val="1"/>
      <w:marLeft w:val="0"/>
      <w:marRight w:val="0"/>
      <w:marTop w:val="0"/>
      <w:marBottom w:val="0"/>
      <w:divBdr>
        <w:top w:val="none" w:sz="0" w:space="0" w:color="auto"/>
        <w:left w:val="none" w:sz="0" w:space="0" w:color="auto"/>
        <w:bottom w:val="none" w:sz="0" w:space="0" w:color="auto"/>
        <w:right w:val="none" w:sz="0" w:space="0" w:color="auto"/>
      </w:divBdr>
    </w:div>
    <w:div w:id="2071613851">
      <w:bodyDiv w:val="1"/>
      <w:marLeft w:val="0"/>
      <w:marRight w:val="0"/>
      <w:marTop w:val="0"/>
      <w:marBottom w:val="0"/>
      <w:divBdr>
        <w:top w:val="none" w:sz="0" w:space="0" w:color="auto"/>
        <w:left w:val="none" w:sz="0" w:space="0" w:color="auto"/>
        <w:bottom w:val="none" w:sz="0" w:space="0" w:color="auto"/>
        <w:right w:val="none" w:sz="0" w:space="0" w:color="auto"/>
      </w:divBdr>
    </w:div>
    <w:div w:id="2091190056">
      <w:bodyDiv w:val="1"/>
      <w:marLeft w:val="0"/>
      <w:marRight w:val="0"/>
      <w:marTop w:val="0"/>
      <w:marBottom w:val="0"/>
      <w:divBdr>
        <w:top w:val="none" w:sz="0" w:space="0" w:color="auto"/>
        <w:left w:val="none" w:sz="0" w:space="0" w:color="auto"/>
        <w:bottom w:val="none" w:sz="0" w:space="0" w:color="auto"/>
        <w:right w:val="none" w:sz="0" w:space="0" w:color="auto"/>
      </w:divBdr>
    </w:div>
    <w:div w:id="2091848612">
      <w:bodyDiv w:val="1"/>
      <w:marLeft w:val="0"/>
      <w:marRight w:val="0"/>
      <w:marTop w:val="0"/>
      <w:marBottom w:val="0"/>
      <w:divBdr>
        <w:top w:val="none" w:sz="0" w:space="0" w:color="auto"/>
        <w:left w:val="none" w:sz="0" w:space="0" w:color="auto"/>
        <w:bottom w:val="none" w:sz="0" w:space="0" w:color="auto"/>
        <w:right w:val="none" w:sz="0" w:space="0" w:color="auto"/>
      </w:divBdr>
    </w:div>
    <w:div w:id="20938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B064D-A9E2-4F98-9B51-65ABE4B9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1975</Words>
  <Characters>11260</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SAYI    : B</vt:lpstr>
    </vt:vector>
  </TitlesOfParts>
  <Company>Enerji Piyasası Düzenleme Kurumu</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    : B</dc:title>
  <dc:subject/>
  <dc:creator>rguven</dc:creator>
  <cp:keywords/>
  <cp:lastModifiedBy>Mustafa YILDIZ</cp:lastModifiedBy>
  <cp:revision>6</cp:revision>
  <cp:lastPrinted>2025-12-30T13:07:00Z</cp:lastPrinted>
  <dcterms:created xsi:type="dcterms:W3CDTF">2025-12-29T17:50:00Z</dcterms:created>
  <dcterms:modified xsi:type="dcterms:W3CDTF">2025-12-30T13:07:00Z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user=myildiz</vt:lpwstr>
  </property>
  <property fmtid="{D5CDD505-2E9C-101B-9397-08002B2CF9AE}" pid="4" name="geodilabeltime">
    <vt:lpwstr>datetime=2025-12-30T13:07:30.674Z</vt:lpwstr>
  </property>
</Properties>
</file>